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AA" w:rsidRPr="00592CE0" w:rsidRDefault="004469AA" w:rsidP="004469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4469AA" w:rsidRPr="00592CE0" w:rsidRDefault="004469AA" w:rsidP="004469A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69AA">
        <w:rPr>
          <w:rFonts w:asciiTheme="majorBidi" w:hAnsiTheme="majorBidi" w:cstheme="majorBidi"/>
          <w:b/>
          <w:bCs/>
          <w:sz w:val="24"/>
          <w:szCs w:val="24"/>
        </w:rPr>
        <w:t xml:space="preserve">September 27, 2017 Volume 3, Issue 9 </w:t>
      </w:r>
    </w:p>
    <w:p w:rsidR="004469AA" w:rsidRDefault="004469AA" w:rsidP="004469AA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4469AA" w:rsidTr="00C5317C">
        <w:tc>
          <w:tcPr>
            <w:tcW w:w="7830" w:type="dxa"/>
          </w:tcPr>
          <w:p w:rsidR="004469AA" w:rsidRPr="00DE4867" w:rsidRDefault="004469AA" w:rsidP="00C5317C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4469AA" w:rsidRPr="00DE4867" w:rsidRDefault="004469AA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Deirdre Lockwood, </w:t>
            </w:r>
            <w:hyperlink r:id="rId5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A Conversation with Sherry Cady</w:t>
              </w:r>
            </w:hyperlink>
            <w:r>
              <w:t>…………………………</w:t>
            </w:r>
          </w:p>
        </w:tc>
        <w:tc>
          <w:tcPr>
            <w:tcW w:w="1187" w:type="dxa"/>
          </w:tcPr>
          <w:p w:rsidR="004469AA" w:rsidRPr="00DE4867" w:rsidRDefault="004469AA" w:rsidP="004469AA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914–915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Prachi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Patel, </w:t>
            </w:r>
            <w:hyperlink r:id="rId6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Gulp! Electronics Down the Hatch</w:t>
              </w:r>
            </w:hyperlink>
            <w:r>
              <w:t>…………………………………</w:t>
            </w:r>
            <w:r>
              <w:t>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916–919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Anuj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Yadav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and Jefferson Chan, </w:t>
            </w:r>
            <w:hyperlink r:id="rId7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Bright Dyes Bring Biology into Focus</w:t>
              </w:r>
            </w:hyperlink>
            <w:r>
              <w:t>…………………………………</w:t>
            </w:r>
            <w:r>
              <w:t>…………………………………………………………………………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920–921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Colin M. Pearson and Thomas N.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Snaddon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8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Alkene Photo-Isomerization Inspired by Vision</w:t>
              </w:r>
            </w:hyperlink>
            <w:r>
              <w:t>…………………………………</w:t>
            </w:r>
            <w:r>
              <w:t>……………………………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922–924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Rommie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Amaro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9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Toward Understanding “the Ways” of Allosteric Drugs</w:t>
              </w:r>
            </w:hyperlink>
            <w:r>
              <w:t>………………………………….………………………………….…………………………………</w:t>
            </w:r>
            <w:r>
              <w:t>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925–926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Yuping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 Marco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Frasconi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J. Fraser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Stoddart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0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Introducing Stable Radicals into Molecular Machines</w:t>
              </w:r>
            </w:hyperlink>
            <w:r>
              <w:t>…………………………………</w:t>
            </w:r>
            <w:r>
              <w:t>………………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927–935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Huw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 L. Davies and Daniel Morton, </w:t>
            </w:r>
            <w:hyperlink r:id="rId11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Collective Approach to Advancing C–H Functionalization</w:t>
              </w:r>
            </w:hyperlink>
            <w:r>
              <w:t>…………………………………</w:t>
            </w:r>
            <w:r>
              <w:t>…………………………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936–943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M. Hassan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Beyzavi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Debashis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Mandal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Martin G.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Strebl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Constanze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N. Neumann, Erica M. D’Amato,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Junting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Chen, Jacob M. Hooker, and Tobias Ritter, </w:t>
            </w:r>
            <w:hyperlink r:id="rId12" w:history="1">
              <w:r w:rsidRPr="001D1CCB">
                <w:rPr>
                  <w:rFonts w:asciiTheme="majorBidi" w:hAnsiTheme="majorBidi" w:cstheme="majorBidi"/>
                  <w:sz w:val="24"/>
                  <w:szCs w:val="24"/>
                  <w:vertAlign w:val="superscript"/>
                </w:rPr>
                <w:t>18</w:t>
              </w:r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F-Deoxyfluorination of Phenols via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Ru</w:t>
              </w:r>
              <w:proofErr w:type="spell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 π-Complexes</w:t>
              </w:r>
            </w:hyperlink>
            <w:r>
              <w:t>………………………………….</w:t>
            </w:r>
            <w:r>
              <w:t>.</w:t>
            </w:r>
            <w:r>
              <w:t>…………………………………</w:t>
            </w:r>
            <w:r>
              <w:t>……………………………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944–948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Giuseppina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Sergio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Decherchi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Marco De Vivo, and Walter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Rocchia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3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Allosteric Communication Networks in Proteins Revealed through Pocket Crosstalk Analysis</w:t>
              </w:r>
            </w:hyperlink>
            <w:r>
              <w:t>…………………………………</w:t>
            </w:r>
            <w:r>
              <w:t>…………………………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949–960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Brian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Schmatz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Zhibo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Yuan, Augustus W. Lang, Jeff L. Hernandez, Elsa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Reichmanis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John R. Reynolds, </w:t>
            </w:r>
            <w:hyperlink r:id="rId14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Aqueous Processing for Printed Organic Electronics: Conjugated Polymers with Multistage Cleavable Side Chains</w:t>
              </w:r>
            </w:hyperlink>
            <w:r>
              <w:t>…………………………………</w:t>
            </w:r>
            <w:r>
              <w:t>…………………………..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961–967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Thomas P.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Senftle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Martina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Lessio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Emily A. Carter, </w:t>
            </w:r>
            <w:hyperlink r:id="rId15" w:history="1">
              <w:proofErr w:type="gram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The</w:t>
              </w:r>
              <w:proofErr w:type="gram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 Role of Surface-Bound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Dihydropyridine</w:t>
              </w:r>
              <w:proofErr w:type="spell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 Analogues in Pyridine-Catalyzed CO</w:t>
              </w:r>
              <w:r w:rsidRPr="001D1CCB">
                <w:rPr>
                  <w:rFonts w:asciiTheme="majorBidi" w:hAnsiTheme="majorBidi" w:cstheme="majorBidi"/>
                  <w:sz w:val="24"/>
                  <w:szCs w:val="24"/>
                  <w:vertAlign w:val="subscript"/>
                </w:rPr>
                <w:t>2</w:t>
              </w:r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 Reduction over Semiconductor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Photoelectrodes</w:t>
              </w:r>
              <w:proofErr w:type="spellEnd"/>
            </w:hyperlink>
            <w:r>
              <w:t>………………………………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968–974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Jonathan B. Grimm, Timothy A. Brown, Ariana N.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Tkachuk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Luke D.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Lavis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6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General Synthetic Method for Si-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Fluoresceins</w:t>
              </w:r>
              <w:proofErr w:type="spell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 and Si-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Rhodamines</w:t>
              </w:r>
              <w:proofErr w:type="spellEnd"/>
            </w:hyperlink>
            <w:r>
              <w:t>…………………………………</w:t>
            </w:r>
            <w:r>
              <w:t>…………………………………………………………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975–985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Yuecheng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Zhou, Bo Li,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Songsong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Herdeline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Ann M.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Ardoña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William L. Wilson, John D. Tovar, and Charles M. Schroeder, </w:t>
            </w:r>
            <w:hyperlink r:id="rId17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Concentration-Driven Assembly and Sol–Gel Transition of π-Conjugated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Oligopeptides</w:t>
              </w:r>
              <w:proofErr w:type="spellEnd"/>
            </w:hyperlink>
            <w:r>
              <w:t>…………………………………</w:t>
            </w:r>
            <w:r>
              <w:t>……………………………………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986–994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Antonio Fernandez,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Matthieu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Vermeren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Duncan Humphries, Ramon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Subiros-Funosas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Nicole Barth, Lara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Campana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Alison MacKinnon, Yi Feng, and Marc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Vendrell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8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Chemical Modulation of </w:t>
              </w:r>
              <w:r w:rsidRPr="001D1CCB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in Vivo</w:t>
              </w:r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 Macrophage Function with Subpopulation-Specific Fluorescent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Prodrug</w:t>
              </w:r>
              <w:proofErr w:type="spell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 Conjugates</w:t>
              </w:r>
            </w:hyperlink>
            <w:r>
              <w:t>……………………….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995–1005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Martin G.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Strebl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Arthur J. Campbell, Wen-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Ning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Zhao, Frederick A. Schroeder,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Misha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 Riley, Peter S.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Chindavong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Thomas M. Morin, Stephen J.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Haggarty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Florence F. Wagner, Tobias Ritter, and Jacob M. Hooker, </w:t>
            </w:r>
            <w:hyperlink r:id="rId19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HDAC6 Brain Mapping with [</w:t>
              </w:r>
              <w:r w:rsidRPr="001D1CCB">
                <w:rPr>
                  <w:rFonts w:asciiTheme="majorBidi" w:hAnsiTheme="majorBidi" w:cstheme="majorBidi"/>
                  <w:sz w:val="24"/>
                  <w:szCs w:val="24"/>
                  <w:vertAlign w:val="superscript"/>
                </w:rPr>
                <w:t>18</w:t>
              </w:r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F]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Bavarostat</w:t>
              </w:r>
              <w:proofErr w:type="spell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 Enabled by a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Ru</w:t>
              </w:r>
              <w:proofErr w:type="spell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-Mediated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Deoxyfluorination</w:t>
              </w:r>
              <w:proofErr w:type="spellEnd"/>
            </w:hyperlink>
            <w:r>
              <w:t>…………………………………</w:t>
            </w:r>
            <w:r>
              <w:t>………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1006–1014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Jingjing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Qiu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Hamed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Hajibabaei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Michael R.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Nellist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Forrest A. L.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Laskowski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Thomas W.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Hamann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Shannon W. Boettcher, </w:t>
            </w:r>
            <w:hyperlink r:id="rId20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Direct in Situ Measurement of Charge Transfer Processes During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Photoelectrochemical</w:t>
              </w:r>
              <w:proofErr w:type="spell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 Water Oxidation on Catalyzed Hematite</w:t>
              </w:r>
            </w:hyperlink>
            <w:r>
              <w:t>……………..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1015–1025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Anna Paula V.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Moura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Luiza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C. B. Santos, Carlos Ramon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Nascimento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Brito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Edward Valencia, Caroline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Junqueira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Adalberto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A. P.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Filho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Mauricio R. V.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Sant’Anna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Nelder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Gontijo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Daniella C.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Bartholomeu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Ricardo T. Fujiwara, Ricardo T.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Gazzinelli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Craig S. McKay, Carlos A.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Sanhueza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M. G. Finn, and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Alexandre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Ferreira Marques, </w:t>
            </w:r>
            <w:hyperlink r:id="rId21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Virus-like Particle Display of the α-Gal Carbohydrate for Vaccination against </w:t>
              </w:r>
              <w:proofErr w:type="spellStart"/>
              <w:r w:rsidRPr="001D1CCB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Leishmania</w:t>
              </w:r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Infection</w:t>
              </w:r>
              <w:proofErr w:type="spellEnd"/>
            </w:hyperlink>
            <w:r>
              <w:t>………………………………….………………………………….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1026–1031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Ming Gong,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Zhi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Cao, Wei Liu, Eva M. Nichols, Peter T. Smith, Jeffrey S. Derrick, Yi-Sheng Liu,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Jinjia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Liu,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Xiaodong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Wen, and Christopher J. Chang, </w:t>
            </w:r>
            <w:hyperlink r:id="rId22" w:history="1"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Supramolecular</w:t>
              </w:r>
              <w:proofErr w:type="spell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Porphyrin</w:t>
              </w:r>
              <w:proofErr w:type="spell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 Cages Assembled at Molecular–Materials Interfaces for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Electrocatalytic</w:t>
              </w:r>
              <w:proofErr w:type="spell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 CO Reduction</w:t>
              </w:r>
            </w:hyperlink>
            <w:r>
              <w:t>………………………………….………………………………….</w:t>
            </w:r>
            <w:r>
              <w:t>…………………………….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1032–1040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Natan-Haim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Kalson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David Furman, and Yehuda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Zeiri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3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Cavitation-Induced Synthesis of Biogenic Molecules on Primordial Earth</w:t>
              </w:r>
            </w:hyperlink>
            <w:r>
              <w:t>……………..</w:t>
            </w:r>
          </w:p>
        </w:tc>
        <w:tc>
          <w:tcPr>
            <w:tcW w:w="1187" w:type="dxa"/>
          </w:tcPr>
          <w:p w:rsidR="004469AA" w:rsidRPr="004469AA" w:rsidRDefault="004469AA" w:rsidP="004469AA">
            <w:pPr>
              <w:ind w:left="-108" w:right="-86"/>
              <w:rPr>
                <w:b/>
                <w:bCs/>
              </w:rPr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1041–1049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Anouck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Champsaur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Jaeeun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Yu, Xavier Roy, Daniel W. Paley, Michael L.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Steigerwald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Colin Nuckolls, and Christopher M. </w:t>
            </w:r>
            <w:proofErr w:type="spellStart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Bejger</w:t>
            </w:r>
            <w:proofErr w:type="spellEnd"/>
            <w:r w:rsidRPr="001D1C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4" w:history="1"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Two-Dimensional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Nanosheets</w:t>
              </w:r>
              <w:proofErr w:type="spellEnd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 xml:space="preserve"> from Redox-Active </w:t>
              </w:r>
              <w:proofErr w:type="spellStart"/>
              <w:r w:rsidRPr="001D1CCB">
                <w:rPr>
                  <w:rFonts w:asciiTheme="majorBidi" w:hAnsiTheme="majorBidi" w:cstheme="majorBidi"/>
                  <w:sz w:val="24"/>
                  <w:szCs w:val="24"/>
                </w:rPr>
                <w:t>Superatoms</w:t>
              </w:r>
              <w:proofErr w:type="spellEnd"/>
            </w:hyperlink>
            <w:r>
              <w:t>………………………………….</w:t>
            </w:r>
            <w:r>
              <w:t>.</w:t>
            </w:r>
            <w:r>
              <w:t>…………………………………</w:t>
            </w:r>
            <w:r>
              <w:t>………………………….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  <w:r w:rsidRPr="001D1CCB">
              <w:rPr>
                <w:rFonts w:asciiTheme="majorBidi" w:hAnsiTheme="majorBidi" w:cstheme="majorBidi"/>
                <w:sz w:val="24"/>
                <w:szCs w:val="24"/>
              </w:rPr>
              <w:t>1050–1055</w:t>
            </w: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25" w:history="1">
              <w:r w:rsidRPr="001D1CCB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Editorial Masthead</w:t>
              </w:r>
            </w:hyperlink>
            <w:r>
              <w:t>………………………………….…………………………………</w:t>
            </w:r>
            <w:r>
              <w:t>…..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</w:p>
        </w:tc>
      </w:tr>
      <w:tr w:rsidR="004469AA" w:rsidTr="00C5317C">
        <w:tc>
          <w:tcPr>
            <w:tcW w:w="7830" w:type="dxa"/>
          </w:tcPr>
          <w:p w:rsidR="004469AA" w:rsidRPr="001D1CCB" w:rsidRDefault="004469AA" w:rsidP="004469AA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26" w:history="1">
              <w:r w:rsidRPr="001D1CCB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Publication Information</w:t>
              </w:r>
            </w:hyperlink>
            <w:r>
              <w:t>………………………………….</w:t>
            </w:r>
            <w:r>
              <w:t>…………………………….</w:t>
            </w:r>
          </w:p>
        </w:tc>
        <w:tc>
          <w:tcPr>
            <w:tcW w:w="1187" w:type="dxa"/>
          </w:tcPr>
          <w:p w:rsidR="004469AA" w:rsidRDefault="004469AA" w:rsidP="004469AA">
            <w:pPr>
              <w:ind w:left="-108" w:right="-86"/>
            </w:pPr>
          </w:p>
        </w:tc>
      </w:tr>
    </w:tbl>
    <w:p w:rsidR="004469AA" w:rsidRDefault="004469AA" w:rsidP="004469AA"/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5E1B"/>
    <w:multiLevelType w:val="hybridMultilevel"/>
    <w:tmpl w:val="EA0A3CF8"/>
    <w:lvl w:ilvl="0" w:tplc="6674C7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AA"/>
    <w:rsid w:val="000B2C1C"/>
    <w:rsid w:val="004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92F41-02AF-42B7-A36B-8BC1FBF9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69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6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7b00376" TargetMode="External"/><Relationship Id="rId13" Type="http://schemas.openxmlformats.org/officeDocument/2006/relationships/hyperlink" Target="https://pubs.acs.org/doi/full/10.1021/acscentsci.7b00211" TargetMode="External"/><Relationship Id="rId18" Type="http://schemas.openxmlformats.org/officeDocument/2006/relationships/hyperlink" Target="https://pubs.acs.org/doi/full/10.1021/acscentsci.7b00262" TargetMode="External"/><Relationship Id="rId26" Type="http://schemas.openxmlformats.org/officeDocument/2006/relationships/hyperlink" Target="https://pubs.acs.org/doi/full/10.1021/ocv003i009_11357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s.acs.org/doi/full/10.1021/acscentsci.7b00311" TargetMode="External"/><Relationship Id="rId7" Type="http://schemas.openxmlformats.org/officeDocument/2006/relationships/hyperlink" Target="https://pubs.acs.org/doi/full/10.1021/acscentsci.7b00352" TargetMode="External"/><Relationship Id="rId12" Type="http://schemas.openxmlformats.org/officeDocument/2006/relationships/hyperlink" Target="https://pubs.acs.org/doi/full/10.1021/acscentsci.7b00195" TargetMode="External"/><Relationship Id="rId17" Type="http://schemas.openxmlformats.org/officeDocument/2006/relationships/hyperlink" Target="https://pubs.acs.org/doi/full/10.1021/acscentsci.7b00260" TargetMode="External"/><Relationship Id="rId25" Type="http://schemas.openxmlformats.org/officeDocument/2006/relationships/hyperlink" Target="https://pubs.acs.org/doi/full/10.1021/ocv003i009_11357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7b00247" TargetMode="External"/><Relationship Id="rId20" Type="http://schemas.openxmlformats.org/officeDocument/2006/relationships/hyperlink" Target="https://pubs.acs.org/doi/full/10.1021/acscentsci.7b003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7b00421" TargetMode="External"/><Relationship Id="rId11" Type="http://schemas.openxmlformats.org/officeDocument/2006/relationships/hyperlink" Target="https://pubs.acs.org/doi/full/10.1021/acscentsci.7b00329" TargetMode="External"/><Relationship Id="rId24" Type="http://schemas.openxmlformats.org/officeDocument/2006/relationships/hyperlink" Target="https://pubs.acs.org/doi/full/10.1021/acscentsci.7b00328" TargetMode="External"/><Relationship Id="rId5" Type="http://schemas.openxmlformats.org/officeDocument/2006/relationships/hyperlink" Target="https://pubs.acs.org/doi/full/10.1021/acscentsci.7b00422" TargetMode="External"/><Relationship Id="rId15" Type="http://schemas.openxmlformats.org/officeDocument/2006/relationships/hyperlink" Target="https://pubs.acs.org/doi/full/10.1021/acscentsci.7b00233" TargetMode="External"/><Relationship Id="rId23" Type="http://schemas.openxmlformats.org/officeDocument/2006/relationships/hyperlink" Target="https://pubs.acs.org/doi/full/10.1021/acscentsci.7b003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bs.acs.org/doi/full/10.1021/acscentsci.7b00219" TargetMode="External"/><Relationship Id="rId19" Type="http://schemas.openxmlformats.org/officeDocument/2006/relationships/hyperlink" Target="https://pubs.acs.org/doi/full/10.1021/acscentsci.7b00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7b00396" TargetMode="External"/><Relationship Id="rId14" Type="http://schemas.openxmlformats.org/officeDocument/2006/relationships/hyperlink" Target="https://pubs.acs.org/doi/full/10.1021/acscentsci.7b00232" TargetMode="External"/><Relationship Id="rId22" Type="http://schemas.openxmlformats.org/officeDocument/2006/relationships/hyperlink" Target="https://pubs.acs.org/doi/full/10.1021/acscentsci.7b003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2018-08-28T03:56:00Z</dcterms:created>
  <dcterms:modified xsi:type="dcterms:W3CDTF">2018-08-28T04:04:00Z</dcterms:modified>
</cp:coreProperties>
</file>