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491" w:rsidRPr="00592CE0" w:rsidRDefault="00B75491" w:rsidP="00B75491">
      <w:pPr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proofErr w:type="spellStart"/>
      <w:r w:rsidRPr="00592CE0">
        <w:rPr>
          <w:rFonts w:asciiTheme="majorBidi" w:hAnsiTheme="majorBidi" w:cstheme="majorBidi"/>
          <w:b/>
          <w:bCs/>
          <w:sz w:val="32"/>
          <w:szCs w:val="32"/>
        </w:rPr>
        <w:t>Daftar</w:t>
      </w:r>
      <w:proofErr w:type="spellEnd"/>
      <w:r w:rsidRPr="00592CE0">
        <w:rPr>
          <w:rFonts w:asciiTheme="majorBidi" w:hAnsiTheme="majorBidi" w:cstheme="majorBidi"/>
          <w:b/>
          <w:bCs/>
          <w:sz w:val="32"/>
          <w:szCs w:val="32"/>
        </w:rPr>
        <w:t xml:space="preserve"> Isi</w:t>
      </w:r>
    </w:p>
    <w:p w:rsidR="00B75491" w:rsidRPr="00592CE0" w:rsidRDefault="00691627" w:rsidP="00691627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91627">
        <w:rPr>
          <w:rFonts w:asciiTheme="majorBidi" w:hAnsiTheme="majorBidi" w:cstheme="majorBidi"/>
          <w:b/>
          <w:bCs/>
          <w:sz w:val="24"/>
          <w:szCs w:val="24"/>
        </w:rPr>
        <w:t xml:space="preserve">July 26, 2017 Volume 3, Issue 7 </w:t>
      </w:r>
      <w:bookmarkStart w:id="0" w:name="_GoBack"/>
      <w:bookmarkEnd w:id="0"/>
    </w:p>
    <w:p w:rsidR="00B75491" w:rsidRDefault="00B75491" w:rsidP="00B7549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0"/>
        <w:gridCol w:w="1187"/>
      </w:tblGrid>
      <w:tr w:rsidR="00B75491" w:rsidTr="00C5317C">
        <w:tc>
          <w:tcPr>
            <w:tcW w:w="7830" w:type="dxa"/>
          </w:tcPr>
          <w:p w:rsidR="00B75491" w:rsidRPr="00DE4867" w:rsidRDefault="00B75491" w:rsidP="0074210C">
            <w:pPr>
              <w:tabs>
                <w:tab w:val="left" w:pos="7182"/>
              </w:tabs>
              <w:ind w:right="43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Daftar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isi</w:t>
            </w:r>
            <w:proofErr w:type="spellEnd"/>
            <w:r>
              <w:t>…………………………………………………………………………………………………………….</w:t>
            </w:r>
          </w:p>
        </w:tc>
        <w:tc>
          <w:tcPr>
            <w:tcW w:w="1187" w:type="dxa"/>
          </w:tcPr>
          <w:p w:rsidR="00B75491" w:rsidRPr="00DE4867" w:rsidRDefault="00B75491" w:rsidP="00C5317C">
            <w:pPr>
              <w:ind w:left="-108" w:right="-8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proofErr w:type="spellEnd"/>
          </w:p>
        </w:tc>
      </w:tr>
      <w:tr w:rsidR="0074210C" w:rsidTr="00C5317C">
        <w:tc>
          <w:tcPr>
            <w:tcW w:w="7830" w:type="dxa"/>
          </w:tcPr>
          <w:p w:rsidR="0074210C" w:rsidRPr="00395AAE" w:rsidRDefault="0074210C" w:rsidP="0074210C">
            <w:pPr>
              <w:pStyle w:val="NoSpacing"/>
              <w:numPr>
                <w:ilvl w:val="0"/>
                <w:numId w:val="2"/>
              </w:numPr>
              <w:tabs>
                <w:tab w:val="left" w:pos="7182"/>
              </w:tabs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C. R. Sugimoto and V. </w:t>
            </w:r>
            <w:proofErr w:type="spellStart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Lariviere</w:t>
            </w:r>
            <w:proofErr w:type="spellEnd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hyperlink r:id="rId5" w:history="1">
              <w:proofErr w:type="spellStart"/>
              <w:r w:rsidRPr="00395AAE">
                <w:rPr>
                  <w:rFonts w:asciiTheme="majorBidi" w:hAnsiTheme="majorBidi" w:cstheme="majorBidi"/>
                  <w:sz w:val="24"/>
                  <w:szCs w:val="24"/>
                </w:rPr>
                <w:t>Altmetrics</w:t>
              </w:r>
              <w:proofErr w:type="spellEnd"/>
              <w:r w:rsidRPr="00395AAE">
                <w:rPr>
                  <w:rFonts w:asciiTheme="majorBidi" w:hAnsiTheme="majorBidi" w:cstheme="majorBidi"/>
                  <w:sz w:val="24"/>
                  <w:szCs w:val="24"/>
                </w:rPr>
                <w:t>: Broadening Impact or Amplifying Voices?</w:t>
              </w:r>
            </w:hyperlink>
            <w:r>
              <w:t>…………………………………………………………………………………</w:t>
            </w:r>
            <w:r>
              <w:t>…</w:t>
            </w:r>
          </w:p>
        </w:tc>
        <w:tc>
          <w:tcPr>
            <w:tcW w:w="1187" w:type="dxa"/>
          </w:tcPr>
          <w:p w:rsidR="0074210C" w:rsidRPr="00DE4867" w:rsidRDefault="0074210C" w:rsidP="0074210C">
            <w:pPr>
              <w:ind w:left="-108" w:right="-8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95AAE">
              <w:rPr>
                <w:rFonts w:asciiTheme="majorBidi" w:hAnsiTheme="majorBidi" w:cstheme="majorBidi"/>
                <w:sz w:val="24"/>
                <w:szCs w:val="24"/>
              </w:rPr>
              <w:t>674–676</w:t>
            </w:r>
          </w:p>
        </w:tc>
      </w:tr>
      <w:tr w:rsidR="0074210C" w:rsidTr="00C5317C">
        <w:tc>
          <w:tcPr>
            <w:tcW w:w="7830" w:type="dxa"/>
          </w:tcPr>
          <w:p w:rsidR="0074210C" w:rsidRPr="00395AAE" w:rsidRDefault="0074210C" w:rsidP="0074210C">
            <w:pPr>
              <w:pStyle w:val="NoSpacing"/>
              <w:numPr>
                <w:ilvl w:val="0"/>
                <w:numId w:val="2"/>
              </w:numPr>
              <w:tabs>
                <w:tab w:val="left" w:pos="7182"/>
              </w:tabs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Katherine </w:t>
            </w:r>
            <w:proofErr w:type="spellStart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Bourzac</w:t>
            </w:r>
            <w:proofErr w:type="spellEnd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hyperlink r:id="rId6" w:history="1">
              <w:r w:rsidRPr="00395AAE">
                <w:rPr>
                  <w:rFonts w:asciiTheme="majorBidi" w:hAnsiTheme="majorBidi" w:cstheme="majorBidi"/>
                  <w:sz w:val="24"/>
                  <w:szCs w:val="24"/>
                </w:rPr>
                <w:t xml:space="preserve">A Conversation with </w:t>
              </w:r>
              <w:proofErr w:type="spellStart"/>
              <w:r w:rsidRPr="00395AAE">
                <w:rPr>
                  <w:rFonts w:asciiTheme="majorBidi" w:hAnsiTheme="majorBidi" w:cstheme="majorBidi"/>
                  <w:sz w:val="24"/>
                  <w:szCs w:val="24"/>
                </w:rPr>
                <w:t>Tomás</w:t>
              </w:r>
              <w:proofErr w:type="spellEnd"/>
              <w:r w:rsidRPr="00395AAE">
                <w:rPr>
                  <w:rFonts w:asciiTheme="majorBidi" w:hAnsiTheme="majorBidi" w:cstheme="majorBidi"/>
                  <w:sz w:val="24"/>
                  <w:szCs w:val="24"/>
                </w:rPr>
                <w:t xml:space="preserve"> Palacios</w:t>
              </w:r>
            </w:hyperlink>
            <w:r>
              <w:t>……………………</w:t>
            </w:r>
          </w:p>
        </w:tc>
        <w:tc>
          <w:tcPr>
            <w:tcW w:w="1187" w:type="dxa"/>
          </w:tcPr>
          <w:p w:rsidR="0074210C" w:rsidRDefault="0074210C" w:rsidP="0074210C">
            <w:pPr>
              <w:ind w:left="-108" w:right="-86"/>
            </w:pPr>
            <w:r w:rsidRPr="00395AAE">
              <w:rPr>
                <w:rFonts w:asciiTheme="majorBidi" w:hAnsiTheme="majorBidi" w:cstheme="majorBidi"/>
                <w:sz w:val="24"/>
                <w:szCs w:val="24"/>
              </w:rPr>
              <w:t>677–678</w:t>
            </w:r>
          </w:p>
        </w:tc>
      </w:tr>
      <w:tr w:rsidR="0074210C" w:rsidTr="00C5317C">
        <w:tc>
          <w:tcPr>
            <w:tcW w:w="7830" w:type="dxa"/>
          </w:tcPr>
          <w:p w:rsidR="0074210C" w:rsidRPr="00395AAE" w:rsidRDefault="0074210C" w:rsidP="0074210C">
            <w:pPr>
              <w:pStyle w:val="NoSpacing"/>
              <w:numPr>
                <w:ilvl w:val="0"/>
                <w:numId w:val="2"/>
              </w:numPr>
              <w:tabs>
                <w:tab w:val="left" w:pos="7182"/>
              </w:tabs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Prachi</w:t>
            </w:r>
            <w:proofErr w:type="spellEnd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Patel, </w:t>
            </w:r>
            <w:hyperlink r:id="rId7" w:history="1">
              <w:r w:rsidRPr="00395AAE">
                <w:rPr>
                  <w:rFonts w:asciiTheme="majorBidi" w:hAnsiTheme="majorBidi" w:cstheme="majorBidi"/>
                  <w:sz w:val="24"/>
                  <w:szCs w:val="24"/>
                </w:rPr>
                <w:t>Monitoring Methane</w:t>
              </w:r>
            </w:hyperlink>
            <w:r>
              <w:t>…………</w:t>
            </w:r>
            <w:r>
              <w:t>…………………………………………………</w:t>
            </w:r>
          </w:p>
        </w:tc>
        <w:tc>
          <w:tcPr>
            <w:tcW w:w="1187" w:type="dxa"/>
          </w:tcPr>
          <w:p w:rsidR="0074210C" w:rsidRDefault="0074210C" w:rsidP="0074210C">
            <w:pPr>
              <w:ind w:left="-108" w:right="-86"/>
            </w:pPr>
            <w:r w:rsidRPr="00395AAE">
              <w:rPr>
                <w:rFonts w:asciiTheme="majorBidi" w:hAnsiTheme="majorBidi" w:cstheme="majorBidi"/>
                <w:sz w:val="24"/>
                <w:szCs w:val="24"/>
              </w:rPr>
              <w:t>679–682</w:t>
            </w:r>
          </w:p>
        </w:tc>
      </w:tr>
      <w:tr w:rsidR="0074210C" w:rsidTr="00C5317C">
        <w:tc>
          <w:tcPr>
            <w:tcW w:w="7830" w:type="dxa"/>
          </w:tcPr>
          <w:p w:rsidR="0074210C" w:rsidRPr="00395AAE" w:rsidRDefault="0074210C" w:rsidP="0074210C">
            <w:pPr>
              <w:pStyle w:val="NoSpacing"/>
              <w:numPr>
                <w:ilvl w:val="0"/>
                <w:numId w:val="2"/>
              </w:numPr>
              <w:tabs>
                <w:tab w:val="left" w:pos="7182"/>
              </w:tabs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Ethan A. </w:t>
            </w:r>
            <w:proofErr w:type="spellStart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Perets</w:t>
            </w:r>
            <w:proofErr w:type="spellEnd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 and Elsa C. Y. Yan, </w:t>
            </w:r>
            <w:hyperlink r:id="rId8" w:history="1">
              <w:r w:rsidRPr="00395AAE">
                <w:rPr>
                  <w:rFonts w:asciiTheme="majorBidi" w:hAnsiTheme="majorBidi" w:cstheme="majorBidi"/>
                  <w:sz w:val="24"/>
                  <w:szCs w:val="24"/>
                </w:rPr>
                <w:t>The H</w:t>
              </w:r>
              <w:r w:rsidRPr="00395AAE">
                <w:rPr>
                  <w:rFonts w:asciiTheme="majorBidi" w:hAnsiTheme="majorBidi" w:cstheme="majorBidi"/>
                  <w:sz w:val="24"/>
                  <w:szCs w:val="24"/>
                  <w:vertAlign w:val="subscript"/>
                </w:rPr>
                <w:t>2</w:t>
              </w:r>
              <w:r w:rsidRPr="00395AAE">
                <w:rPr>
                  <w:rFonts w:asciiTheme="majorBidi" w:hAnsiTheme="majorBidi" w:cstheme="majorBidi"/>
                  <w:sz w:val="24"/>
                  <w:szCs w:val="24"/>
                </w:rPr>
                <w:t>O Helix: The Chiral Water Superstructure Surrounding DNA</w:t>
              </w:r>
            </w:hyperlink>
            <w:r>
              <w:t>…………</w:t>
            </w:r>
            <w:r>
              <w:t>……………………………………….</w:t>
            </w:r>
          </w:p>
        </w:tc>
        <w:tc>
          <w:tcPr>
            <w:tcW w:w="1187" w:type="dxa"/>
          </w:tcPr>
          <w:p w:rsidR="0074210C" w:rsidRDefault="0074210C" w:rsidP="0074210C">
            <w:pPr>
              <w:ind w:left="-108" w:right="-86"/>
            </w:pPr>
            <w:r w:rsidRPr="00395AAE">
              <w:rPr>
                <w:rFonts w:asciiTheme="majorBidi" w:hAnsiTheme="majorBidi" w:cstheme="majorBidi"/>
                <w:sz w:val="24"/>
                <w:szCs w:val="24"/>
              </w:rPr>
              <w:t>683–685</w:t>
            </w:r>
          </w:p>
        </w:tc>
      </w:tr>
      <w:tr w:rsidR="0074210C" w:rsidTr="00C5317C">
        <w:tc>
          <w:tcPr>
            <w:tcW w:w="7830" w:type="dxa"/>
          </w:tcPr>
          <w:p w:rsidR="0074210C" w:rsidRPr="00395AAE" w:rsidRDefault="0074210C" w:rsidP="0074210C">
            <w:pPr>
              <w:pStyle w:val="NoSpacing"/>
              <w:numPr>
                <w:ilvl w:val="0"/>
                <w:numId w:val="2"/>
              </w:numPr>
              <w:tabs>
                <w:tab w:val="left" w:pos="7182"/>
              </w:tabs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Carlo </w:t>
            </w:r>
            <w:proofErr w:type="spellStart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Sambiagio</w:t>
            </w:r>
            <w:proofErr w:type="spellEnd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Hans </w:t>
            </w:r>
            <w:proofErr w:type="spellStart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Sterckx</w:t>
            </w:r>
            <w:proofErr w:type="spellEnd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 Bert U. W. </w:t>
            </w:r>
            <w:proofErr w:type="spellStart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Maes</w:t>
            </w:r>
            <w:proofErr w:type="spellEnd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hyperlink r:id="rId9" w:history="1">
              <w:proofErr w:type="spellStart"/>
              <w:r w:rsidRPr="00395AAE">
                <w:rPr>
                  <w:rFonts w:asciiTheme="majorBidi" w:hAnsiTheme="majorBidi" w:cstheme="majorBidi"/>
                  <w:sz w:val="24"/>
                  <w:szCs w:val="24"/>
                </w:rPr>
                <w:t>Electrosynthesis</w:t>
              </w:r>
              <w:proofErr w:type="spellEnd"/>
              <w:r w:rsidRPr="00395AAE">
                <w:rPr>
                  <w:rFonts w:asciiTheme="majorBidi" w:hAnsiTheme="majorBidi" w:cstheme="majorBidi"/>
                  <w:sz w:val="24"/>
                  <w:szCs w:val="24"/>
                </w:rPr>
                <w:t>: A New Frontier in Aerobic Oxidation?</w:t>
              </w:r>
            </w:hyperlink>
            <w:r>
              <w:t>…………</w:t>
            </w:r>
            <w:r>
              <w:t>…………….</w:t>
            </w:r>
          </w:p>
        </w:tc>
        <w:tc>
          <w:tcPr>
            <w:tcW w:w="1187" w:type="dxa"/>
          </w:tcPr>
          <w:p w:rsidR="0074210C" w:rsidRDefault="0074210C" w:rsidP="0074210C">
            <w:pPr>
              <w:ind w:left="-108" w:right="-86"/>
            </w:pPr>
            <w:r w:rsidRPr="00395AAE">
              <w:rPr>
                <w:rFonts w:asciiTheme="majorBidi" w:hAnsiTheme="majorBidi" w:cstheme="majorBidi"/>
                <w:sz w:val="24"/>
                <w:szCs w:val="24"/>
              </w:rPr>
              <w:t>686–688</w:t>
            </w:r>
          </w:p>
        </w:tc>
      </w:tr>
      <w:tr w:rsidR="0074210C" w:rsidTr="00C5317C">
        <w:tc>
          <w:tcPr>
            <w:tcW w:w="7830" w:type="dxa"/>
          </w:tcPr>
          <w:p w:rsidR="0074210C" w:rsidRPr="00395AAE" w:rsidRDefault="0074210C" w:rsidP="0074210C">
            <w:pPr>
              <w:pStyle w:val="NoSpacing"/>
              <w:numPr>
                <w:ilvl w:val="0"/>
                <w:numId w:val="2"/>
              </w:numPr>
              <w:tabs>
                <w:tab w:val="left" w:pos="7182"/>
              </w:tabs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Richard A. Register, </w:t>
            </w:r>
            <w:hyperlink r:id="rId10" w:history="1">
              <w:r w:rsidRPr="00395AAE">
                <w:rPr>
                  <w:rFonts w:asciiTheme="majorBidi" w:hAnsiTheme="majorBidi" w:cstheme="majorBidi"/>
                  <w:sz w:val="24"/>
                  <w:szCs w:val="24"/>
                </w:rPr>
                <w:t xml:space="preserve">A “Layered Look” for Spherical Nanoparticles in </w:t>
              </w:r>
              <w:proofErr w:type="spellStart"/>
              <w:r w:rsidRPr="00395AAE">
                <w:rPr>
                  <w:rFonts w:asciiTheme="majorBidi" w:hAnsiTheme="majorBidi" w:cstheme="majorBidi"/>
                  <w:sz w:val="24"/>
                  <w:szCs w:val="24"/>
                </w:rPr>
                <w:t>Semicrystalline</w:t>
              </w:r>
              <w:proofErr w:type="spellEnd"/>
              <w:r w:rsidRPr="00395AAE">
                <w:rPr>
                  <w:rFonts w:asciiTheme="majorBidi" w:hAnsiTheme="majorBidi" w:cstheme="majorBidi"/>
                  <w:sz w:val="24"/>
                  <w:szCs w:val="24"/>
                </w:rPr>
                <w:t xml:space="preserve"> Polymers</w:t>
              </w:r>
            </w:hyperlink>
            <w:r>
              <w:t>…………</w:t>
            </w:r>
            <w:r>
              <w:t>……………………………………………………………</w:t>
            </w:r>
          </w:p>
        </w:tc>
        <w:tc>
          <w:tcPr>
            <w:tcW w:w="1187" w:type="dxa"/>
          </w:tcPr>
          <w:p w:rsidR="0074210C" w:rsidRDefault="0074210C" w:rsidP="0074210C">
            <w:pPr>
              <w:ind w:left="-108" w:right="-86"/>
            </w:pPr>
            <w:r w:rsidRPr="00395AAE">
              <w:rPr>
                <w:rFonts w:asciiTheme="majorBidi" w:hAnsiTheme="majorBidi" w:cstheme="majorBidi"/>
                <w:sz w:val="24"/>
                <w:szCs w:val="24"/>
              </w:rPr>
              <w:t>689–691</w:t>
            </w:r>
          </w:p>
        </w:tc>
      </w:tr>
      <w:tr w:rsidR="0074210C" w:rsidTr="00C5317C">
        <w:tc>
          <w:tcPr>
            <w:tcW w:w="7830" w:type="dxa"/>
          </w:tcPr>
          <w:p w:rsidR="0074210C" w:rsidRPr="00395AAE" w:rsidRDefault="0074210C" w:rsidP="0074210C">
            <w:pPr>
              <w:pStyle w:val="NoSpacing"/>
              <w:numPr>
                <w:ilvl w:val="0"/>
                <w:numId w:val="2"/>
              </w:numPr>
              <w:tabs>
                <w:tab w:val="left" w:pos="7182"/>
              </w:tabs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Gregory C. Fu, </w:t>
            </w:r>
            <w:hyperlink r:id="rId11" w:history="1">
              <w:r w:rsidRPr="00395AAE">
                <w:rPr>
                  <w:rFonts w:asciiTheme="majorBidi" w:hAnsiTheme="majorBidi" w:cstheme="majorBidi"/>
                  <w:sz w:val="24"/>
                  <w:szCs w:val="24"/>
                </w:rPr>
                <w:t xml:space="preserve">Transition-Metal Catalysis of </w:t>
              </w:r>
              <w:proofErr w:type="spellStart"/>
              <w:r w:rsidRPr="00395AAE">
                <w:rPr>
                  <w:rFonts w:asciiTheme="majorBidi" w:hAnsiTheme="majorBidi" w:cstheme="majorBidi"/>
                  <w:sz w:val="24"/>
                  <w:szCs w:val="24"/>
                </w:rPr>
                <w:t>Nucleophilic</w:t>
              </w:r>
              <w:proofErr w:type="spellEnd"/>
              <w:r w:rsidRPr="00395AAE">
                <w:rPr>
                  <w:rFonts w:asciiTheme="majorBidi" w:hAnsiTheme="majorBidi" w:cstheme="majorBidi"/>
                  <w:sz w:val="24"/>
                  <w:szCs w:val="24"/>
                </w:rPr>
                <w:t xml:space="preserve"> Substitution Reactions: A Radical Alternative to S</w:t>
              </w:r>
              <w:r w:rsidRPr="00395AAE">
                <w:rPr>
                  <w:rFonts w:asciiTheme="majorBidi" w:hAnsiTheme="majorBidi" w:cstheme="majorBidi"/>
                  <w:sz w:val="24"/>
                  <w:szCs w:val="24"/>
                  <w:vertAlign w:val="subscript"/>
                </w:rPr>
                <w:t>N</w:t>
              </w:r>
              <w:r w:rsidRPr="00395AAE">
                <w:rPr>
                  <w:rFonts w:asciiTheme="majorBidi" w:hAnsiTheme="majorBidi" w:cstheme="majorBidi"/>
                  <w:sz w:val="24"/>
                  <w:szCs w:val="24"/>
                </w:rPr>
                <w:t>1 and S</w:t>
              </w:r>
              <w:r w:rsidRPr="00395AAE">
                <w:rPr>
                  <w:rFonts w:asciiTheme="majorBidi" w:hAnsiTheme="majorBidi" w:cstheme="majorBidi"/>
                  <w:sz w:val="24"/>
                  <w:szCs w:val="24"/>
                  <w:vertAlign w:val="subscript"/>
                </w:rPr>
                <w:t>N</w:t>
              </w:r>
              <w:r w:rsidRPr="00395AAE">
                <w:rPr>
                  <w:rFonts w:asciiTheme="majorBidi" w:hAnsiTheme="majorBidi" w:cstheme="majorBidi"/>
                  <w:sz w:val="24"/>
                  <w:szCs w:val="24"/>
                </w:rPr>
                <w:t>2 Processes</w:t>
              </w:r>
            </w:hyperlink>
            <w:r w:rsidR="00691627">
              <w:t>………………………………………………………………………………</w:t>
            </w:r>
            <w:r w:rsidR="00691627">
              <w:t>……………………..</w:t>
            </w:r>
          </w:p>
        </w:tc>
        <w:tc>
          <w:tcPr>
            <w:tcW w:w="1187" w:type="dxa"/>
          </w:tcPr>
          <w:p w:rsidR="0074210C" w:rsidRDefault="0074210C" w:rsidP="0074210C">
            <w:pPr>
              <w:ind w:left="-108" w:right="-86"/>
            </w:pPr>
            <w:r w:rsidRPr="00395AAE">
              <w:rPr>
                <w:rFonts w:asciiTheme="majorBidi" w:hAnsiTheme="majorBidi" w:cstheme="majorBidi"/>
                <w:sz w:val="24"/>
                <w:szCs w:val="24"/>
              </w:rPr>
              <w:t>692–700</w:t>
            </w:r>
          </w:p>
        </w:tc>
      </w:tr>
      <w:tr w:rsidR="0074210C" w:rsidTr="00C5317C">
        <w:tc>
          <w:tcPr>
            <w:tcW w:w="7830" w:type="dxa"/>
          </w:tcPr>
          <w:p w:rsidR="0074210C" w:rsidRPr="00395AAE" w:rsidRDefault="0074210C" w:rsidP="0074210C">
            <w:pPr>
              <w:pStyle w:val="NoSpacing"/>
              <w:numPr>
                <w:ilvl w:val="0"/>
                <w:numId w:val="2"/>
              </w:numPr>
              <w:tabs>
                <w:tab w:val="left" w:pos="7182"/>
              </w:tabs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Kristina Rau and Andrea </w:t>
            </w:r>
            <w:proofErr w:type="spellStart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Rentmeister</w:t>
            </w:r>
            <w:proofErr w:type="spellEnd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hyperlink r:id="rId12" w:history="1">
              <w:r w:rsidRPr="00395AAE">
                <w:rPr>
                  <w:rFonts w:asciiTheme="majorBidi" w:hAnsiTheme="majorBidi" w:cstheme="majorBidi"/>
                  <w:sz w:val="24"/>
                  <w:szCs w:val="24"/>
                </w:rPr>
                <w:t>Making the Message Clear: Concepts for mRNA Imaging</w:t>
              </w:r>
            </w:hyperlink>
            <w:r w:rsidR="00691627">
              <w:t>…………</w:t>
            </w:r>
            <w:r w:rsidR="00691627">
              <w:t>………………………………………………………….</w:t>
            </w:r>
          </w:p>
        </w:tc>
        <w:tc>
          <w:tcPr>
            <w:tcW w:w="1187" w:type="dxa"/>
          </w:tcPr>
          <w:p w:rsidR="0074210C" w:rsidRDefault="0074210C" w:rsidP="0074210C">
            <w:pPr>
              <w:ind w:left="-108" w:right="-86"/>
            </w:pPr>
            <w:r w:rsidRPr="00395AAE">
              <w:rPr>
                <w:rFonts w:asciiTheme="majorBidi" w:hAnsiTheme="majorBidi" w:cstheme="majorBidi"/>
                <w:sz w:val="24"/>
                <w:szCs w:val="24"/>
              </w:rPr>
              <w:t>701–707</w:t>
            </w:r>
          </w:p>
        </w:tc>
      </w:tr>
      <w:tr w:rsidR="0074210C" w:rsidTr="00C5317C">
        <w:tc>
          <w:tcPr>
            <w:tcW w:w="7830" w:type="dxa"/>
          </w:tcPr>
          <w:p w:rsidR="0074210C" w:rsidRPr="00395AAE" w:rsidRDefault="0074210C" w:rsidP="0074210C">
            <w:pPr>
              <w:pStyle w:val="NoSpacing"/>
              <w:numPr>
                <w:ilvl w:val="0"/>
                <w:numId w:val="2"/>
              </w:numPr>
              <w:tabs>
                <w:tab w:val="left" w:pos="7182"/>
              </w:tabs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M. Luke McDermott, Heather </w:t>
            </w:r>
            <w:proofErr w:type="spellStart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Vanselous</w:t>
            </w:r>
            <w:proofErr w:type="spellEnd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Steven A. </w:t>
            </w:r>
            <w:proofErr w:type="spellStart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Corcelli</w:t>
            </w:r>
            <w:proofErr w:type="spellEnd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and </w:t>
            </w:r>
            <w:proofErr w:type="spellStart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Poul</w:t>
            </w:r>
            <w:proofErr w:type="spellEnd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B. Petersen, </w:t>
            </w:r>
            <w:hyperlink r:id="rId13" w:history="1">
              <w:r w:rsidRPr="00395AAE">
                <w:rPr>
                  <w:rFonts w:asciiTheme="majorBidi" w:hAnsiTheme="majorBidi" w:cstheme="majorBidi"/>
                  <w:sz w:val="24"/>
                  <w:szCs w:val="24"/>
                </w:rPr>
                <w:t>DNA’s Chiral Spine of Hydration</w:t>
              </w:r>
            </w:hyperlink>
            <w:r w:rsidR="00691627">
              <w:t>…………</w:t>
            </w:r>
            <w:r w:rsidR="00691627">
              <w:t>……………</w:t>
            </w:r>
          </w:p>
        </w:tc>
        <w:tc>
          <w:tcPr>
            <w:tcW w:w="1187" w:type="dxa"/>
          </w:tcPr>
          <w:p w:rsidR="0074210C" w:rsidRDefault="0074210C" w:rsidP="0074210C">
            <w:pPr>
              <w:ind w:left="-108" w:right="-86"/>
            </w:pPr>
            <w:r w:rsidRPr="00395AAE">
              <w:rPr>
                <w:rFonts w:asciiTheme="majorBidi" w:hAnsiTheme="majorBidi" w:cstheme="majorBidi"/>
                <w:sz w:val="24"/>
                <w:szCs w:val="24"/>
              </w:rPr>
              <w:t>708–714</w:t>
            </w:r>
          </w:p>
        </w:tc>
      </w:tr>
      <w:tr w:rsidR="0074210C" w:rsidTr="00C5317C">
        <w:tc>
          <w:tcPr>
            <w:tcW w:w="7830" w:type="dxa"/>
          </w:tcPr>
          <w:p w:rsidR="0074210C" w:rsidRPr="00395AAE" w:rsidRDefault="0074210C" w:rsidP="0074210C">
            <w:pPr>
              <w:pStyle w:val="NoSpacing"/>
              <w:numPr>
                <w:ilvl w:val="0"/>
                <w:numId w:val="2"/>
              </w:numPr>
              <w:tabs>
                <w:tab w:val="left" w:pos="7182"/>
              </w:tabs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Ariana Gray </w:t>
            </w:r>
            <w:proofErr w:type="spellStart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Bé</w:t>
            </w:r>
            <w:proofErr w:type="spellEnd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 Mary Alice Upshur, </w:t>
            </w:r>
            <w:proofErr w:type="spellStart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Pengfei</w:t>
            </w:r>
            <w:proofErr w:type="spellEnd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Liu, Scot T. Martin, Franz M. Geiger, and Regan J. Thomson, </w:t>
            </w:r>
            <w:hyperlink r:id="rId14" w:history="1">
              <w:r w:rsidRPr="00395AAE">
                <w:rPr>
                  <w:rFonts w:asciiTheme="majorBidi" w:hAnsiTheme="majorBidi" w:cstheme="majorBidi"/>
                  <w:sz w:val="24"/>
                  <w:szCs w:val="24"/>
                </w:rPr>
                <w:t>Cloud Activation Potentials for Atmospheric α-</w:t>
              </w:r>
              <w:proofErr w:type="spellStart"/>
              <w:r w:rsidRPr="00395AAE">
                <w:rPr>
                  <w:rFonts w:asciiTheme="majorBidi" w:hAnsiTheme="majorBidi" w:cstheme="majorBidi"/>
                  <w:sz w:val="24"/>
                  <w:szCs w:val="24"/>
                </w:rPr>
                <w:t>Pinene</w:t>
              </w:r>
              <w:proofErr w:type="spellEnd"/>
              <w:r w:rsidRPr="00395AAE">
                <w:rPr>
                  <w:rFonts w:asciiTheme="majorBidi" w:hAnsiTheme="majorBidi" w:cstheme="majorBidi"/>
                  <w:sz w:val="24"/>
                  <w:szCs w:val="24"/>
                </w:rPr>
                <w:t xml:space="preserve"> and β-</w:t>
              </w:r>
              <w:proofErr w:type="spellStart"/>
              <w:r w:rsidRPr="00395AAE">
                <w:rPr>
                  <w:rFonts w:asciiTheme="majorBidi" w:hAnsiTheme="majorBidi" w:cstheme="majorBidi"/>
                  <w:sz w:val="24"/>
                  <w:szCs w:val="24"/>
                </w:rPr>
                <w:t>Caryophyllene</w:t>
              </w:r>
              <w:proofErr w:type="spellEnd"/>
              <w:r w:rsidRPr="00395AAE">
                <w:rPr>
                  <w:rFonts w:asciiTheme="majorBidi" w:hAnsiTheme="majorBidi" w:cstheme="majorBidi"/>
                  <w:sz w:val="24"/>
                  <w:szCs w:val="24"/>
                </w:rPr>
                <w:t xml:space="preserve"> </w:t>
              </w:r>
              <w:proofErr w:type="spellStart"/>
              <w:r w:rsidRPr="00395AAE">
                <w:rPr>
                  <w:rFonts w:asciiTheme="majorBidi" w:hAnsiTheme="majorBidi" w:cstheme="majorBidi"/>
                  <w:sz w:val="24"/>
                  <w:szCs w:val="24"/>
                </w:rPr>
                <w:t>Ozonolysis</w:t>
              </w:r>
              <w:proofErr w:type="spellEnd"/>
              <w:r w:rsidRPr="00395AAE">
                <w:rPr>
                  <w:rFonts w:asciiTheme="majorBidi" w:hAnsiTheme="majorBidi" w:cstheme="majorBidi"/>
                  <w:sz w:val="24"/>
                  <w:szCs w:val="24"/>
                </w:rPr>
                <w:t xml:space="preserve"> Products</w:t>
              </w:r>
            </w:hyperlink>
            <w:r w:rsidR="00691627">
              <w:t>…………………………………………………………………………………</w:t>
            </w:r>
            <w:r w:rsidR="00691627">
              <w:t>…………………….</w:t>
            </w:r>
          </w:p>
        </w:tc>
        <w:tc>
          <w:tcPr>
            <w:tcW w:w="1187" w:type="dxa"/>
          </w:tcPr>
          <w:p w:rsidR="0074210C" w:rsidRDefault="0074210C" w:rsidP="0074210C">
            <w:pPr>
              <w:ind w:left="-108" w:right="-86"/>
            </w:pPr>
            <w:r w:rsidRPr="00395AAE">
              <w:rPr>
                <w:rFonts w:asciiTheme="majorBidi" w:hAnsiTheme="majorBidi" w:cstheme="majorBidi"/>
                <w:sz w:val="24"/>
                <w:szCs w:val="24"/>
              </w:rPr>
              <w:t>715–725</w:t>
            </w:r>
          </w:p>
        </w:tc>
      </w:tr>
      <w:tr w:rsidR="0074210C" w:rsidTr="00C5317C">
        <w:tc>
          <w:tcPr>
            <w:tcW w:w="7830" w:type="dxa"/>
          </w:tcPr>
          <w:p w:rsidR="0074210C" w:rsidRPr="00395AAE" w:rsidRDefault="0074210C" w:rsidP="0074210C">
            <w:pPr>
              <w:pStyle w:val="NoSpacing"/>
              <w:numPr>
                <w:ilvl w:val="0"/>
                <w:numId w:val="2"/>
              </w:numPr>
              <w:tabs>
                <w:tab w:val="left" w:pos="7182"/>
              </w:tabs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Jinjin</w:t>
            </w:r>
            <w:proofErr w:type="spellEnd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Li, </w:t>
            </w:r>
            <w:proofErr w:type="spellStart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Yuriy</w:t>
            </w:r>
            <w:proofErr w:type="spellEnd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A. </w:t>
            </w:r>
            <w:proofErr w:type="spellStart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Abramov</w:t>
            </w:r>
            <w:proofErr w:type="spellEnd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 Michael F. Doherty, </w:t>
            </w:r>
            <w:hyperlink r:id="rId15" w:history="1">
              <w:r w:rsidRPr="00395AAE">
                <w:rPr>
                  <w:rFonts w:asciiTheme="majorBidi" w:hAnsiTheme="majorBidi" w:cstheme="majorBidi"/>
                  <w:sz w:val="24"/>
                  <w:szCs w:val="24"/>
                </w:rPr>
                <w:t>New Tricks of the Trade for Crystal Structure Refinement</w:t>
              </w:r>
            </w:hyperlink>
            <w:r w:rsidR="00691627">
              <w:t>…………</w:t>
            </w:r>
            <w:r w:rsidR="00691627">
              <w:t>……………………………….</w:t>
            </w:r>
          </w:p>
        </w:tc>
        <w:tc>
          <w:tcPr>
            <w:tcW w:w="1187" w:type="dxa"/>
          </w:tcPr>
          <w:p w:rsidR="0074210C" w:rsidRDefault="0074210C" w:rsidP="0074210C">
            <w:pPr>
              <w:ind w:left="-108" w:right="-86"/>
            </w:pPr>
            <w:r w:rsidRPr="00395AAE">
              <w:rPr>
                <w:rFonts w:asciiTheme="majorBidi" w:hAnsiTheme="majorBidi" w:cstheme="majorBidi"/>
                <w:sz w:val="24"/>
                <w:szCs w:val="24"/>
              </w:rPr>
              <w:t>726–733</w:t>
            </w:r>
          </w:p>
        </w:tc>
      </w:tr>
      <w:tr w:rsidR="0074210C" w:rsidTr="00C5317C">
        <w:tc>
          <w:tcPr>
            <w:tcW w:w="7830" w:type="dxa"/>
          </w:tcPr>
          <w:p w:rsidR="0074210C" w:rsidRPr="00395AAE" w:rsidRDefault="0074210C" w:rsidP="0074210C">
            <w:pPr>
              <w:pStyle w:val="NoSpacing"/>
              <w:numPr>
                <w:ilvl w:val="0"/>
                <w:numId w:val="2"/>
              </w:numPr>
              <w:tabs>
                <w:tab w:val="left" w:pos="7182"/>
              </w:tabs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Anna G. Slater, Paul S. Reiss, Angeles Pulido, Marc A. Little, Daniel L. Holden, </w:t>
            </w:r>
            <w:proofErr w:type="spellStart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Linjiang</w:t>
            </w:r>
            <w:proofErr w:type="spellEnd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Chen, Samantha Y. Chong, Ben M. Alston, Rob </w:t>
            </w:r>
            <w:proofErr w:type="spellStart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Clowes</w:t>
            </w:r>
            <w:proofErr w:type="spellEnd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 </w:t>
            </w:r>
            <w:proofErr w:type="spellStart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Maciej</w:t>
            </w:r>
            <w:proofErr w:type="spellEnd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Haranczyk</w:t>
            </w:r>
            <w:proofErr w:type="spellEnd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Michael E. Briggs, Tom </w:t>
            </w:r>
            <w:proofErr w:type="spellStart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Hasell</w:t>
            </w:r>
            <w:proofErr w:type="spellEnd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Graeme M. Day, and Andrew I. Cooper, </w:t>
            </w:r>
            <w:hyperlink r:id="rId16" w:history="1">
              <w:r w:rsidRPr="00395AAE">
                <w:rPr>
                  <w:rFonts w:asciiTheme="majorBidi" w:hAnsiTheme="majorBidi" w:cstheme="majorBidi"/>
                  <w:sz w:val="24"/>
                  <w:szCs w:val="24"/>
                </w:rPr>
                <w:t xml:space="preserve">Computationally-Guided Synthetic Control over Pore Size in </w:t>
              </w:r>
              <w:proofErr w:type="spellStart"/>
              <w:r w:rsidRPr="00395AAE">
                <w:rPr>
                  <w:rFonts w:asciiTheme="majorBidi" w:hAnsiTheme="majorBidi" w:cstheme="majorBidi"/>
                  <w:sz w:val="24"/>
                  <w:szCs w:val="24"/>
                </w:rPr>
                <w:t>Isostructural</w:t>
              </w:r>
              <w:proofErr w:type="spellEnd"/>
              <w:r w:rsidRPr="00395AAE">
                <w:rPr>
                  <w:rFonts w:asciiTheme="majorBidi" w:hAnsiTheme="majorBidi" w:cstheme="majorBidi"/>
                  <w:sz w:val="24"/>
                  <w:szCs w:val="24"/>
                </w:rPr>
                <w:t xml:space="preserve"> Porous Organic Cages</w:t>
              </w:r>
            </w:hyperlink>
            <w:r w:rsidR="00691627">
              <w:t>…………………………………………………………………………………</w:t>
            </w:r>
            <w:r w:rsidR="00691627">
              <w:t>………….</w:t>
            </w:r>
          </w:p>
        </w:tc>
        <w:tc>
          <w:tcPr>
            <w:tcW w:w="1187" w:type="dxa"/>
          </w:tcPr>
          <w:p w:rsidR="0074210C" w:rsidRDefault="0074210C" w:rsidP="0074210C">
            <w:pPr>
              <w:ind w:left="-108" w:right="-86"/>
            </w:pPr>
            <w:r w:rsidRPr="00395AAE">
              <w:rPr>
                <w:rFonts w:asciiTheme="majorBidi" w:hAnsiTheme="majorBidi" w:cstheme="majorBidi"/>
                <w:sz w:val="24"/>
                <w:szCs w:val="24"/>
              </w:rPr>
              <w:t>734–742</w:t>
            </w:r>
          </w:p>
        </w:tc>
      </w:tr>
      <w:tr w:rsidR="0074210C" w:rsidTr="00C5317C">
        <w:tc>
          <w:tcPr>
            <w:tcW w:w="7830" w:type="dxa"/>
          </w:tcPr>
          <w:p w:rsidR="0074210C" w:rsidRPr="00395AAE" w:rsidRDefault="0074210C" w:rsidP="0074210C">
            <w:pPr>
              <w:pStyle w:val="NoSpacing"/>
              <w:numPr>
                <w:ilvl w:val="0"/>
                <w:numId w:val="2"/>
              </w:numPr>
              <w:tabs>
                <w:tab w:val="left" w:pos="7182"/>
              </w:tabs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Jigang</w:t>
            </w:r>
            <w:proofErr w:type="spellEnd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Wang, </w:t>
            </w:r>
            <w:proofErr w:type="spellStart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Jianbin</w:t>
            </w:r>
            <w:proofErr w:type="spellEnd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Zhang, Yin Shi, </w:t>
            </w:r>
            <w:proofErr w:type="spellStart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Chengchao</w:t>
            </w:r>
            <w:proofErr w:type="spellEnd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Xu</w:t>
            </w:r>
            <w:proofErr w:type="spellEnd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 </w:t>
            </w:r>
            <w:proofErr w:type="spellStart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Chongjing</w:t>
            </w:r>
            <w:proofErr w:type="spellEnd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Zhang, Yin Kwan Wong, Yew </w:t>
            </w:r>
            <w:proofErr w:type="spellStart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Mun</w:t>
            </w:r>
            <w:proofErr w:type="spellEnd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Lee, </w:t>
            </w:r>
            <w:proofErr w:type="spellStart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Sanjeev</w:t>
            </w:r>
            <w:proofErr w:type="spellEnd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Krishna, </w:t>
            </w:r>
            <w:proofErr w:type="spellStart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Yingke</w:t>
            </w:r>
            <w:proofErr w:type="spellEnd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He, </w:t>
            </w:r>
            <w:proofErr w:type="spellStart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Teck</w:t>
            </w:r>
            <w:proofErr w:type="spellEnd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Kwang</w:t>
            </w:r>
            <w:proofErr w:type="spellEnd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Lim, </w:t>
            </w:r>
            <w:proofErr w:type="spellStart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Weiying</w:t>
            </w:r>
            <w:proofErr w:type="spellEnd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Sim</w:t>
            </w:r>
            <w:proofErr w:type="spellEnd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 </w:t>
            </w:r>
            <w:proofErr w:type="spellStart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Zi</w:t>
            </w:r>
            <w:proofErr w:type="spellEnd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-Chun Hua, Han-Ming </w:t>
            </w:r>
            <w:proofErr w:type="spellStart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Shen</w:t>
            </w:r>
            <w:proofErr w:type="spellEnd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and </w:t>
            </w:r>
            <w:proofErr w:type="spellStart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Qingsong</w:t>
            </w:r>
            <w:proofErr w:type="spellEnd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Lin, </w:t>
            </w:r>
            <w:hyperlink r:id="rId17" w:history="1">
              <w:r w:rsidRPr="00395AAE">
                <w:rPr>
                  <w:rFonts w:asciiTheme="majorBidi" w:hAnsiTheme="majorBidi" w:cstheme="majorBidi"/>
                  <w:sz w:val="24"/>
                  <w:szCs w:val="24"/>
                </w:rPr>
                <w:t xml:space="preserve">Mechanistic Investigation of the Specific Anticancer Property of </w:t>
              </w:r>
              <w:proofErr w:type="spellStart"/>
              <w:r w:rsidRPr="00395AAE">
                <w:rPr>
                  <w:rFonts w:asciiTheme="majorBidi" w:hAnsiTheme="majorBidi" w:cstheme="majorBidi"/>
                  <w:sz w:val="24"/>
                  <w:szCs w:val="24"/>
                </w:rPr>
                <w:t>Artemisinin</w:t>
              </w:r>
              <w:proofErr w:type="spellEnd"/>
              <w:r w:rsidRPr="00395AAE">
                <w:rPr>
                  <w:rFonts w:asciiTheme="majorBidi" w:hAnsiTheme="majorBidi" w:cstheme="majorBidi"/>
                  <w:sz w:val="24"/>
                  <w:szCs w:val="24"/>
                </w:rPr>
                <w:t xml:space="preserve"> and Its Combination with </w:t>
              </w:r>
              <w:proofErr w:type="spellStart"/>
              <w:r w:rsidRPr="00395AAE">
                <w:rPr>
                  <w:rFonts w:asciiTheme="majorBidi" w:hAnsiTheme="majorBidi" w:cstheme="majorBidi"/>
                  <w:sz w:val="24"/>
                  <w:szCs w:val="24"/>
                </w:rPr>
                <w:t>Aminolevulinic</w:t>
              </w:r>
              <w:proofErr w:type="spellEnd"/>
              <w:r w:rsidRPr="00395AAE">
                <w:rPr>
                  <w:rFonts w:asciiTheme="majorBidi" w:hAnsiTheme="majorBidi" w:cstheme="majorBidi"/>
                  <w:sz w:val="24"/>
                  <w:szCs w:val="24"/>
                </w:rPr>
                <w:t xml:space="preserve"> Acid for Enhanced </w:t>
              </w:r>
              <w:proofErr w:type="spellStart"/>
              <w:r w:rsidRPr="00395AAE">
                <w:rPr>
                  <w:rFonts w:asciiTheme="majorBidi" w:hAnsiTheme="majorBidi" w:cstheme="majorBidi"/>
                  <w:sz w:val="24"/>
                  <w:szCs w:val="24"/>
                </w:rPr>
                <w:t>Anticolorectal</w:t>
              </w:r>
              <w:proofErr w:type="spellEnd"/>
              <w:r w:rsidRPr="00395AAE">
                <w:rPr>
                  <w:rFonts w:asciiTheme="majorBidi" w:hAnsiTheme="majorBidi" w:cstheme="majorBidi"/>
                  <w:sz w:val="24"/>
                  <w:szCs w:val="24"/>
                </w:rPr>
                <w:t xml:space="preserve"> Cancer Activity</w:t>
              </w:r>
            </w:hyperlink>
            <w:r w:rsidR="00691627">
              <w:t>………</w:t>
            </w:r>
          </w:p>
        </w:tc>
        <w:tc>
          <w:tcPr>
            <w:tcW w:w="1187" w:type="dxa"/>
          </w:tcPr>
          <w:p w:rsidR="0074210C" w:rsidRDefault="0074210C" w:rsidP="0074210C">
            <w:pPr>
              <w:ind w:left="-108" w:right="-86"/>
            </w:pPr>
            <w:r w:rsidRPr="00395AAE">
              <w:rPr>
                <w:rFonts w:asciiTheme="majorBidi" w:hAnsiTheme="majorBidi" w:cstheme="majorBidi"/>
                <w:sz w:val="24"/>
                <w:szCs w:val="24"/>
              </w:rPr>
              <w:t>743–750</w:t>
            </w:r>
          </w:p>
        </w:tc>
      </w:tr>
      <w:tr w:rsidR="0074210C" w:rsidTr="00C5317C">
        <w:tc>
          <w:tcPr>
            <w:tcW w:w="7830" w:type="dxa"/>
          </w:tcPr>
          <w:p w:rsidR="0074210C" w:rsidRPr="00395AAE" w:rsidRDefault="0074210C" w:rsidP="0074210C">
            <w:pPr>
              <w:pStyle w:val="NoSpacing"/>
              <w:numPr>
                <w:ilvl w:val="0"/>
                <w:numId w:val="2"/>
              </w:numPr>
              <w:tabs>
                <w:tab w:val="left" w:pos="7182"/>
              </w:tabs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Dan Zhao, </w:t>
            </w:r>
            <w:proofErr w:type="spellStart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Vianney</w:t>
            </w:r>
            <w:proofErr w:type="spellEnd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Gimenez</w:t>
            </w:r>
            <w:proofErr w:type="spellEnd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-Pinto, Andrew M. Jimenez, </w:t>
            </w:r>
            <w:proofErr w:type="spellStart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Longxi</w:t>
            </w:r>
            <w:proofErr w:type="spellEnd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Zhao, Jacques </w:t>
            </w:r>
            <w:proofErr w:type="spellStart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Jestin</w:t>
            </w:r>
            <w:proofErr w:type="spellEnd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 </w:t>
            </w:r>
            <w:proofErr w:type="spellStart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Sanat</w:t>
            </w:r>
            <w:proofErr w:type="spellEnd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K. Kumar, Brooke </w:t>
            </w:r>
            <w:proofErr w:type="spellStart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Kuei</w:t>
            </w:r>
            <w:proofErr w:type="spellEnd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Enrique D. Gomez, Aditya </w:t>
            </w:r>
            <w:proofErr w:type="spellStart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Shanker</w:t>
            </w:r>
            <w:proofErr w:type="spellEnd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Prasad, Linda S. </w:t>
            </w:r>
            <w:proofErr w:type="spellStart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Schadler</w:t>
            </w:r>
            <w:proofErr w:type="spellEnd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Mohammad M. </w:t>
            </w:r>
            <w:proofErr w:type="spellStart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Khani</w:t>
            </w:r>
            <w:proofErr w:type="spellEnd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 Brian C. </w:t>
            </w:r>
            <w:proofErr w:type="spellStart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Benicewicz</w:t>
            </w:r>
            <w:proofErr w:type="spellEnd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hyperlink r:id="rId18" w:history="1">
              <w:r w:rsidRPr="00395AAE">
                <w:rPr>
                  <w:rFonts w:asciiTheme="majorBidi" w:hAnsiTheme="majorBidi" w:cstheme="majorBidi"/>
                  <w:sz w:val="24"/>
                  <w:szCs w:val="24"/>
                </w:rPr>
                <w:t xml:space="preserve">Tunable </w:t>
              </w:r>
              <w:proofErr w:type="spellStart"/>
              <w:r w:rsidRPr="00395AAE">
                <w:rPr>
                  <w:rFonts w:asciiTheme="majorBidi" w:hAnsiTheme="majorBidi" w:cstheme="majorBidi"/>
                  <w:sz w:val="24"/>
                  <w:szCs w:val="24"/>
                </w:rPr>
                <w:t>Multiscale</w:t>
              </w:r>
              <w:proofErr w:type="spellEnd"/>
              <w:r w:rsidRPr="00395AAE">
                <w:rPr>
                  <w:rFonts w:asciiTheme="majorBidi" w:hAnsiTheme="majorBidi" w:cstheme="majorBidi"/>
                  <w:sz w:val="24"/>
                  <w:szCs w:val="24"/>
                </w:rPr>
                <w:t xml:space="preserve"> Nanoparticle Ordering by Polymer Crystallization</w:t>
              </w:r>
            </w:hyperlink>
            <w:r w:rsidR="00691627">
              <w:t>…………</w:t>
            </w:r>
            <w:r w:rsidR="00691627">
              <w:t>………………………………………………</w:t>
            </w:r>
          </w:p>
        </w:tc>
        <w:tc>
          <w:tcPr>
            <w:tcW w:w="1187" w:type="dxa"/>
          </w:tcPr>
          <w:p w:rsidR="0074210C" w:rsidRDefault="0074210C" w:rsidP="0074210C">
            <w:pPr>
              <w:ind w:left="-108" w:right="-86"/>
            </w:pPr>
            <w:r w:rsidRPr="00395AAE">
              <w:rPr>
                <w:rFonts w:asciiTheme="majorBidi" w:hAnsiTheme="majorBidi" w:cstheme="majorBidi"/>
                <w:sz w:val="24"/>
                <w:szCs w:val="24"/>
              </w:rPr>
              <w:t>751–758</w:t>
            </w:r>
          </w:p>
        </w:tc>
      </w:tr>
      <w:tr w:rsidR="0074210C" w:rsidTr="00C5317C">
        <w:tc>
          <w:tcPr>
            <w:tcW w:w="7830" w:type="dxa"/>
          </w:tcPr>
          <w:p w:rsidR="0074210C" w:rsidRPr="00395AAE" w:rsidRDefault="0074210C" w:rsidP="0074210C">
            <w:pPr>
              <w:pStyle w:val="NoSpacing"/>
              <w:numPr>
                <w:ilvl w:val="0"/>
                <w:numId w:val="2"/>
              </w:numPr>
              <w:tabs>
                <w:tab w:val="left" w:pos="7182"/>
              </w:tabs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Christopher P. Gordon, </w:t>
            </w:r>
            <w:proofErr w:type="spellStart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Keishi</w:t>
            </w:r>
            <w:proofErr w:type="spellEnd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Yamamoto, Wei-</w:t>
            </w:r>
            <w:proofErr w:type="spellStart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Chih</w:t>
            </w:r>
            <w:proofErr w:type="spellEnd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Liao, Florian </w:t>
            </w:r>
            <w:proofErr w:type="spellStart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Allouche</w:t>
            </w:r>
            <w:proofErr w:type="spellEnd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 Rich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ard A. Andersen, Christophe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Cope</w:t>
            </w:r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ret</w:t>
            </w:r>
            <w:proofErr w:type="spellEnd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 Christophe Raynaud, and </w:t>
            </w:r>
            <w:proofErr w:type="spellStart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Odile</w:t>
            </w:r>
            <w:proofErr w:type="spellEnd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Eisenstein, </w:t>
            </w:r>
            <w:hyperlink r:id="rId19" w:history="1">
              <w:r w:rsidRPr="00395AAE">
                <w:rPr>
                  <w:rFonts w:asciiTheme="majorBidi" w:hAnsiTheme="majorBidi" w:cstheme="majorBidi"/>
                  <w:sz w:val="24"/>
                  <w:szCs w:val="24"/>
                </w:rPr>
                <w:t xml:space="preserve">Metathesis Activity Encoded in the </w:t>
              </w:r>
              <w:proofErr w:type="spellStart"/>
              <w:r w:rsidRPr="00395AAE">
                <w:rPr>
                  <w:rFonts w:asciiTheme="majorBidi" w:hAnsiTheme="majorBidi" w:cstheme="majorBidi"/>
                  <w:sz w:val="24"/>
                  <w:szCs w:val="24"/>
                </w:rPr>
                <w:t>Metallacyclobutane</w:t>
              </w:r>
              <w:proofErr w:type="spellEnd"/>
              <w:r w:rsidRPr="00395AAE">
                <w:rPr>
                  <w:rFonts w:asciiTheme="majorBidi" w:hAnsiTheme="majorBidi" w:cstheme="majorBidi"/>
                  <w:sz w:val="24"/>
                  <w:szCs w:val="24"/>
                </w:rPr>
                <w:t xml:space="preserve"> Carbon-13 NMR Chemical Shift Tensors</w:t>
              </w:r>
            </w:hyperlink>
            <w:r w:rsidR="00691627">
              <w:t>…………</w:t>
            </w:r>
            <w:r w:rsidR="00691627">
              <w:t>…….</w:t>
            </w:r>
          </w:p>
        </w:tc>
        <w:tc>
          <w:tcPr>
            <w:tcW w:w="1187" w:type="dxa"/>
          </w:tcPr>
          <w:p w:rsidR="0074210C" w:rsidRDefault="0074210C" w:rsidP="0074210C">
            <w:pPr>
              <w:ind w:left="-108" w:right="-86"/>
            </w:pPr>
            <w:r w:rsidRPr="00395AAE">
              <w:rPr>
                <w:rFonts w:asciiTheme="majorBidi" w:hAnsiTheme="majorBidi" w:cstheme="majorBidi"/>
                <w:sz w:val="24"/>
                <w:szCs w:val="24"/>
              </w:rPr>
              <w:t>759–768</w:t>
            </w:r>
          </w:p>
        </w:tc>
      </w:tr>
      <w:tr w:rsidR="0074210C" w:rsidTr="00C5317C">
        <w:tc>
          <w:tcPr>
            <w:tcW w:w="7830" w:type="dxa"/>
          </w:tcPr>
          <w:p w:rsidR="0074210C" w:rsidRPr="00395AAE" w:rsidRDefault="0074210C" w:rsidP="0074210C">
            <w:pPr>
              <w:pStyle w:val="NoSpacing"/>
              <w:numPr>
                <w:ilvl w:val="0"/>
                <w:numId w:val="2"/>
              </w:numPr>
              <w:tabs>
                <w:tab w:val="left" w:pos="7182"/>
              </w:tabs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 xml:space="preserve">Masashi </w:t>
            </w:r>
            <w:proofErr w:type="spellStart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Mamada</w:t>
            </w:r>
            <w:proofErr w:type="spellEnd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 </w:t>
            </w:r>
            <w:proofErr w:type="spellStart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Ko</w:t>
            </w:r>
            <w:proofErr w:type="spellEnd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Inada, Takeshi </w:t>
            </w:r>
            <w:proofErr w:type="spellStart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Komino</w:t>
            </w:r>
            <w:proofErr w:type="spellEnd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William J. </w:t>
            </w:r>
            <w:proofErr w:type="spellStart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Potscavage</w:t>
            </w:r>
            <w:proofErr w:type="spellEnd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Jr., Hajime </w:t>
            </w:r>
            <w:proofErr w:type="spellStart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Nakanotani</w:t>
            </w:r>
            <w:proofErr w:type="spellEnd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and </w:t>
            </w:r>
            <w:proofErr w:type="spellStart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Chihaya</w:t>
            </w:r>
            <w:proofErr w:type="spellEnd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Adachi, </w:t>
            </w:r>
            <w:hyperlink r:id="rId20" w:history="1">
              <w:r w:rsidRPr="00395AAE">
                <w:rPr>
                  <w:rFonts w:asciiTheme="majorBidi" w:hAnsiTheme="majorBidi" w:cstheme="majorBidi"/>
                  <w:sz w:val="24"/>
                  <w:szCs w:val="24"/>
                </w:rPr>
                <w:t xml:space="preserve">Highly Efficient Thermally Activated Delayed Fluorescence from an Excited-State </w:t>
              </w:r>
              <w:proofErr w:type="spellStart"/>
              <w:r w:rsidRPr="00395AAE">
                <w:rPr>
                  <w:rFonts w:asciiTheme="majorBidi" w:hAnsiTheme="majorBidi" w:cstheme="majorBidi"/>
                  <w:sz w:val="24"/>
                  <w:szCs w:val="24"/>
                </w:rPr>
                <w:t>Intramolecular</w:t>
              </w:r>
              <w:proofErr w:type="spellEnd"/>
              <w:r w:rsidRPr="00395AAE">
                <w:rPr>
                  <w:rFonts w:asciiTheme="majorBidi" w:hAnsiTheme="majorBidi" w:cstheme="majorBidi"/>
                  <w:sz w:val="24"/>
                  <w:szCs w:val="24"/>
                </w:rPr>
                <w:t xml:space="preserve"> Proton Transfer System</w:t>
              </w:r>
            </w:hyperlink>
            <w:r w:rsidR="00691627">
              <w:t>…………</w:t>
            </w:r>
            <w:r w:rsidR="00691627">
              <w:t>…………………………………</w:t>
            </w:r>
          </w:p>
        </w:tc>
        <w:tc>
          <w:tcPr>
            <w:tcW w:w="1187" w:type="dxa"/>
          </w:tcPr>
          <w:p w:rsidR="0074210C" w:rsidRDefault="0074210C" w:rsidP="0074210C">
            <w:pPr>
              <w:ind w:left="-108" w:right="-86"/>
            </w:pPr>
            <w:r w:rsidRPr="00395AAE">
              <w:rPr>
                <w:rFonts w:asciiTheme="majorBidi" w:hAnsiTheme="majorBidi" w:cstheme="majorBidi"/>
                <w:sz w:val="24"/>
                <w:szCs w:val="24"/>
              </w:rPr>
              <w:t>769–777</w:t>
            </w:r>
          </w:p>
        </w:tc>
      </w:tr>
      <w:tr w:rsidR="0074210C" w:rsidTr="00C5317C">
        <w:tc>
          <w:tcPr>
            <w:tcW w:w="7830" w:type="dxa"/>
          </w:tcPr>
          <w:p w:rsidR="0074210C" w:rsidRPr="00395AAE" w:rsidRDefault="0074210C" w:rsidP="0074210C">
            <w:pPr>
              <w:pStyle w:val="NoSpacing"/>
              <w:numPr>
                <w:ilvl w:val="0"/>
                <w:numId w:val="2"/>
              </w:numPr>
              <w:tabs>
                <w:tab w:val="left" w:pos="7182"/>
              </w:tabs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Tengfei</w:t>
            </w:r>
            <w:proofErr w:type="spellEnd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Li, Yang Cao, </w:t>
            </w:r>
            <w:proofErr w:type="spellStart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Jingfu</w:t>
            </w:r>
            <w:proofErr w:type="spellEnd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He, and Curtis P. </w:t>
            </w:r>
            <w:proofErr w:type="spellStart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Berlinguette</w:t>
            </w:r>
            <w:proofErr w:type="spellEnd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hyperlink r:id="rId21" w:history="1">
              <w:r w:rsidRPr="00395AAE">
                <w:rPr>
                  <w:rFonts w:asciiTheme="majorBidi" w:hAnsiTheme="majorBidi" w:cstheme="majorBidi"/>
                  <w:sz w:val="24"/>
                  <w:szCs w:val="24"/>
                </w:rPr>
                <w:t>Electrolytic CO</w:t>
              </w:r>
              <w:r w:rsidRPr="00395AAE">
                <w:rPr>
                  <w:rFonts w:asciiTheme="majorBidi" w:hAnsiTheme="majorBidi" w:cstheme="majorBidi"/>
                  <w:sz w:val="24"/>
                  <w:szCs w:val="24"/>
                  <w:vertAlign w:val="subscript"/>
                </w:rPr>
                <w:t>2</w:t>
              </w:r>
              <w:r w:rsidRPr="00395AAE">
                <w:rPr>
                  <w:rFonts w:asciiTheme="majorBidi" w:hAnsiTheme="majorBidi" w:cstheme="majorBidi"/>
                  <w:sz w:val="24"/>
                  <w:szCs w:val="24"/>
                </w:rPr>
                <w:t> Reduction in Tandem with Oxidative Organic Chemistry</w:t>
              </w:r>
            </w:hyperlink>
            <w:r w:rsidR="00691627">
              <w:t>…………………………………………………………………………………</w:t>
            </w:r>
            <w:r w:rsidR="00691627">
              <w:t>………………...</w:t>
            </w:r>
          </w:p>
        </w:tc>
        <w:tc>
          <w:tcPr>
            <w:tcW w:w="1187" w:type="dxa"/>
          </w:tcPr>
          <w:p w:rsidR="0074210C" w:rsidRPr="0074210C" w:rsidRDefault="0074210C" w:rsidP="0074210C">
            <w:pPr>
              <w:ind w:left="-108" w:right="-86"/>
              <w:rPr>
                <w:b/>
                <w:bCs/>
              </w:rPr>
            </w:pPr>
            <w:r w:rsidRPr="00395AAE">
              <w:rPr>
                <w:rFonts w:asciiTheme="majorBidi" w:hAnsiTheme="majorBidi" w:cstheme="majorBidi"/>
                <w:sz w:val="24"/>
                <w:szCs w:val="24"/>
              </w:rPr>
              <w:t>778–783</w:t>
            </w:r>
          </w:p>
        </w:tc>
      </w:tr>
      <w:tr w:rsidR="0074210C" w:rsidTr="00C5317C">
        <w:tc>
          <w:tcPr>
            <w:tcW w:w="7830" w:type="dxa"/>
          </w:tcPr>
          <w:p w:rsidR="0074210C" w:rsidRPr="00395AAE" w:rsidRDefault="0074210C" w:rsidP="0074210C">
            <w:pPr>
              <w:pStyle w:val="NoSpacing"/>
              <w:numPr>
                <w:ilvl w:val="0"/>
                <w:numId w:val="2"/>
              </w:numPr>
              <w:tabs>
                <w:tab w:val="left" w:pos="7182"/>
              </w:tabs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Marta </w:t>
            </w:r>
            <w:proofErr w:type="spellStart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Artola</w:t>
            </w:r>
            <w:proofErr w:type="spellEnd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Liang Wu, Maria J. </w:t>
            </w:r>
            <w:proofErr w:type="spellStart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Ferraz</w:t>
            </w:r>
            <w:proofErr w:type="spellEnd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Chi-Lin </w:t>
            </w:r>
            <w:proofErr w:type="spellStart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Kuo</w:t>
            </w:r>
            <w:proofErr w:type="spellEnd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 </w:t>
            </w:r>
            <w:proofErr w:type="spellStart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Lluís</w:t>
            </w:r>
            <w:proofErr w:type="spellEnd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Raich</w:t>
            </w:r>
            <w:proofErr w:type="spellEnd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Imogen Z. Breen, Wendy A. </w:t>
            </w:r>
            <w:proofErr w:type="spellStart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Offen</w:t>
            </w:r>
            <w:proofErr w:type="spellEnd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 </w:t>
            </w:r>
            <w:proofErr w:type="spellStart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Jeroen</w:t>
            </w:r>
            <w:proofErr w:type="spellEnd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D. C. </w:t>
            </w:r>
            <w:proofErr w:type="spellStart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Codée</w:t>
            </w:r>
            <w:proofErr w:type="spellEnd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 </w:t>
            </w:r>
            <w:proofErr w:type="spellStart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Gijsbert</w:t>
            </w:r>
            <w:proofErr w:type="spellEnd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A. van der </w:t>
            </w:r>
            <w:proofErr w:type="spellStart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Marel</w:t>
            </w:r>
            <w:proofErr w:type="spellEnd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 </w:t>
            </w:r>
            <w:proofErr w:type="spellStart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Carme</w:t>
            </w:r>
            <w:proofErr w:type="spellEnd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Rovira</w:t>
            </w:r>
            <w:proofErr w:type="spellEnd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Johannes M. F. G. </w:t>
            </w:r>
            <w:proofErr w:type="spellStart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Aerts</w:t>
            </w:r>
            <w:proofErr w:type="spellEnd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Gideon J. Davies, and Herman S. </w:t>
            </w:r>
            <w:proofErr w:type="spellStart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Overkleeft</w:t>
            </w:r>
            <w:proofErr w:type="spellEnd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hyperlink r:id="rId22" w:history="1">
              <w:r w:rsidRPr="00395AAE">
                <w:rPr>
                  <w:rFonts w:asciiTheme="majorBidi" w:hAnsiTheme="majorBidi" w:cstheme="majorBidi"/>
                  <w:sz w:val="24"/>
                  <w:szCs w:val="24"/>
                </w:rPr>
                <w:t xml:space="preserve">1,6-Cyclophellitol </w:t>
              </w:r>
              <w:proofErr w:type="spellStart"/>
              <w:r w:rsidRPr="00395AAE">
                <w:rPr>
                  <w:rFonts w:asciiTheme="majorBidi" w:hAnsiTheme="majorBidi" w:cstheme="majorBidi"/>
                  <w:sz w:val="24"/>
                  <w:szCs w:val="24"/>
                </w:rPr>
                <w:t>Cyclosulfates</w:t>
              </w:r>
              <w:proofErr w:type="spellEnd"/>
              <w:r w:rsidRPr="00395AAE">
                <w:rPr>
                  <w:rFonts w:asciiTheme="majorBidi" w:hAnsiTheme="majorBidi" w:cstheme="majorBidi"/>
                  <w:sz w:val="24"/>
                  <w:szCs w:val="24"/>
                </w:rPr>
                <w:t>: A New Class of Irreversible Glycosidase Inhibitor</w:t>
              </w:r>
            </w:hyperlink>
            <w:r w:rsidR="00691627">
              <w:t>…………………………………………………………………………………</w:t>
            </w:r>
            <w:r w:rsidR="00691627">
              <w:t>…………………….</w:t>
            </w:r>
          </w:p>
        </w:tc>
        <w:tc>
          <w:tcPr>
            <w:tcW w:w="1187" w:type="dxa"/>
          </w:tcPr>
          <w:p w:rsidR="0074210C" w:rsidRDefault="0074210C" w:rsidP="0074210C">
            <w:pPr>
              <w:ind w:left="-108" w:right="-86"/>
            </w:pPr>
            <w:r w:rsidRPr="00395AAE">
              <w:rPr>
                <w:rFonts w:asciiTheme="majorBidi" w:hAnsiTheme="majorBidi" w:cstheme="majorBidi"/>
                <w:sz w:val="24"/>
                <w:szCs w:val="24"/>
              </w:rPr>
              <w:t>784–793</w:t>
            </w:r>
          </w:p>
        </w:tc>
      </w:tr>
      <w:tr w:rsidR="0074210C" w:rsidTr="00C5317C">
        <w:tc>
          <w:tcPr>
            <w:tcW w:w="7830" w:type="dxa"/>
          </w:tcPr>
          <w:p w:rsidR="0074210C" w:rsidRPr="00395AAE" w:rsidRDefault="0074210C" w:rsidP="0074210C">
            <w:pPr>
              <w:pStyle w:val="NoSpacing"/>
              <w:numPr>
                <w:ilvl w:val="0"/>
                <w:numId w:val="2"/>
              </w:numPr>
              <w:tabs>
                <w:tab w:val="left" w:pos="7182"/>
              </w:tabs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Guowu</w:t>
            </w:r>
            <w:proofErr w:type="spellEnd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Zhan and Hua Chun Zeng, </w:t>
            </w:r>
            <w:hyperlink r:id="rId23" w:history="1">
              <w:r w:rsidRPr="00395AAE">
                <w:rPr>
                  <w:rFonts w:asciiTheme="majorBidi" w:hAnsiTheme="majorBidi" w:cstheme="majorBidi"/>
                  <w:sz w:val="24"/>
                  <w:szCs w:val="24"/>
                </w:rPr>
                <w:t xml:space="preserve">Smart </w:t>
              </w:r>
              <w:proofErr w:type="spellStart"/>
              <w:r w:rsidRPr="00395AAE">
                <w:rPr>
                  <w:rFonts w:asciiTheme="majorBidi" w:hAnsiTheme="majorBidi" w:cstheme="majorBidi"/>
                  <w:sz w:val="24"/>
                  <w:szCs w:val="24"/>
                </w:rPr>
                <w:t>Nanocatalysts</w:t>
              </w:r>
              <w:proofErr w:type="spellEnd"/>
              <w:r w:rsidRPr="00395AAE">
                <w:rPr>
                  <w:rFonts w:asciiTheme="majorBidi" w:hAnsiTheme="majorBidi" w:cstheme="majorBidi"/>
                  <w:sz w:val="24"/>
                  <w:szCs w:val="24"/>
                </w:rPr>
                <w:t xml:space="preserve"> with Streamline Shapes</w:t>
              </w:r>
            </w:hyperlink>
            <w:r w:rsidR="00691627">
              <w:t>…………………………………………………………………………………</w:t>
            </w:r>
            <w:r w:rsidR="00691627">
              <w:t>……</w:t>
            </w:r>
          </w:p>
        </w:tc>
        <w:tc>
          <w:tcPr>
            <w:tcW w:w="1187" w:type="dxa"/>
          </w:tcPr>
          <w:p w:rsidR="0074210C" w:rsidRDefault="0074210C" w:rsidP="0074210C">
            <w:pPr>
              <w:ind w:left="-108" w:right="-86"/>
            </w:pPr>
            <w:r w:rsidRPr="00395AAE">
              <w:rPr>
                <w:rFonts w:asciiTheme="majorBidi" w:hAnsiTheme="majorBidi" w:cstheme="majorBidi"/>
                <w:sz w:val="24"/>
                <w:szCs w:val="24"/>
              </w:rPr>
              <w:t>794–799</w:t>
            </w:r>
          </w:p>
        </w:tc>
      </w:tr>
      <w:tr w:rsidR="0074210C" w:rsidTr="00C5317C">
        <w:tc>
          <w:tcPr>
            <w:tcW w:w="7830" w:type="dxa"/>
          </w:tcPr>
          <w:p w:rsidR="0074210C" w:rsidRPr="00395AAE" w:rsidRDefault="0074210C" w:rsidP="0074210C">
            <w:pPr>
              <w:pStyle w:val="NoSpacing"/>
              <w:numPr>
                <w:ilvl w:val="0"/>
                <w:numId w:val="2"/>
              </w:numPr>
              <w:tabs>
                <w:tab w:val="left" w:pos="7182"/>
              </w:tabs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Hung V.-T. Nguyen, </w:t>
            </w:r>
            <w:proofErr w:type="spellStart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Qixian</w:t>
            </w:r>
            <w:proofErr w:type="spellEnd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Chen, Joseph T. </w:t>
            </w:r>
            <w:proofErr w:type="spellStart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Paletta</w:t>
            </w:r>
            <w:proofErr w:type="spellEnd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 Peter Harvey, </w:t>
            </w:r>
            <w:proofErr w:type="spellStart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Yivan</w:t>
            </w:r>
            <w:proofErr w:type="spellEnd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Jiang, </w:t>
            </w:r>
            <w:proofErr w:type="spellStart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Hui</w:t>
            </w:r>
            <w:proofErr w:type="spellEnd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Zhang, Michael D. </w:t>
            </w:r>
            <w:proofErr w:type="spellStart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Boska</w:t>
            </w:r>
            <w:proofErr w:type="spellEnd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M. Francesca </w:t>
            </w:r>
            <w:proofErr w:type="spellStart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Ottaviani</w:t>
            </w:r>
            <w:proofErr w:type="spellEnd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Alan </w:t>
            </w:r>
            <w:proofErr w:type="spellStart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Jasanoff</w:t>
            </w:r>
            <w:proofErr w:type="spellEnd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 </w:t>
            </w:r>
            <w:proofErr w:type="spellStart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Andrzej</w:t>
            </w:r>
            <w:proofErr w:type="spellEnd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Rajca</w:t>
            </w:r>
            <w:proofErr w:type="spellEnd"/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 Jeremiah A. Johnson, </w:t>
            </w:r>
            <w:hyperlink r:id="rId24" w:history="1">
              <w:proofErr w:type="spellStart"/>
              <w:r w:rsidRPr="00395AAE">
                <w:rPr>
                  <w:rFonts w:asciiTheme="majorBidi" w:hAnsiTheme="majorBidi" w:cstheme="majorBidi"/>
                  <w:sz w:val="24"/>
                  <w:szCs w:val="24"/>
                </w:rPr>
                <w:t>Nitroxide</w:t>
              </w:r>
              <w:proofErr w:type="spellEnd"/>
              <w:r w:rsidRPr="00395AAE">
                <w:rPr>
                  <w:rFonts w:asciiTheme="majorBidi" w:hAnsiTheme="majorBidi" w:cstheme="majorBidi"/>
                  <w:sz w:val="24"/>
                  <w:szCs w:val="24"/>
                </w:rPr>
                <w:t xml:space="preserve">-Based Macromolecular Contrast Agents with Unprecedented Transverse </w:t>
              </w:r>
              <w:proofErr w:type="spellStart"/>
              <w:r w:rsidRPr="00395AAE">
                <w:rPr>
                  <w:rFonts w:asciiTheme="majorBidi" w:hAnsiTheme="majorBidi" w:cstheme="majorBidi"/>
                  <w:sz w:val="24"/>
                  <w:szCs w:val="24"/>
                </w:rPr>
                <w:t>Relaxivity</w:t>
              </w:r>
              <w:proofErr w:type="spellEnd"/>
              <w:r w:rsidRPr="00395AAE">
                <w:rPr>
                  <w:rFonts w:asciiTheme="majorBidi" w:hAnsiTheme="majorBidi" w:cstheme="majorBidi"/>
                  <w:sz w:val="24"/>
                  <w:szCs w:val="24"/>
                </w:rPr>
                <w:t xml:space="preserve"> and Stability for Magnetic Resonance Imaging of Tumors</w:t>
              </w:r>
            </w:hyperlink>
            <w:r w:rsidR="00691627">
              <w:t>…………………………………………………………………………………</w:t>
            </w:r>
            <w:r w:rsidR="00691627">
              <w:t>………………….</w:t>
            </w:r>
          </w:p>
        </w:tc>
        <w:tc>
          <w:tcPr>
            <w:tcW w:w="1187" w:type="dxa"/>
          </w:tcPr>
          <w:p w:rsidR="0074210C" w:rsidRDefault="0074210C" w:rsidP="0074210C">
            <w:pPr>
              <w:ind w:left="-108" w:right="-86"/>
            </w:pPr>
            <w:r w:rsidRPr="00395AAE">
              <w:rPr>
                <w:rFonts w:asciiTheme="majorBidi" w:hAnsiTheme="majorBidi" w:cstheme="majorBidi"/>
                <w:sz w:val="24"/>
                <w:szCs w:val="24"/>
              </w:rPr>
              <w:t>800–811</w:t>
            </w:r>
          </w:p>
        </w:tc>
      </w:tr>
      <w:tr w:rsidR="0074210C" w:rsidTr="00C5317C">
        <w:tc>
          <w:tcPr>
            <w:tcW w:w="7830" w:type="dxa"/>
          </w:tcPr>
          <w:p w:rsidR="0074210C" w:rsidRPr="00395AAE" w:rsidRDefault="0074210C" w:rsidP="0074210C">
            <w:pPr>
              <w:pStyle w:val="NoSpacing"/>
              <w:numPr>
                <w:ilvl w:val="0"/>
                <w:numId w:val="2"/>
              </w:numPr>
              <w:tabs>
                <w:tab w:val="left" w:pos="7182"/>
              </w:tabs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95AAE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Issue Editorial Masthead</w:t>
            </w:r>
            <w:r w:rsidR="00691627">
              <w:t>…………</w:t>
            </w:r>
            <w:r w:rsidR="00691627">
              <w:t>………………………………………………………………</w:t>
            </w:r>
          </w:p>
        </w:tc>
        <w:tc>
          <w:tcPr>
            <w:tcW w:w="1187" w:type="dxa"/>
          </w:tcPr>
          <w:p w:rsidR="0074210C" w:rsidRDefault="0074210C" w:rsidP="0074210C">
            <w:pPr>
              <w:ind w:left="-108" w:right="-86"/>
            </w:pPr>
          </w:p>
        </w:tc>
      </w:tr>
      <w:tr w:rsidR="0074210C" w:rsidTr="00C5317C">
        <w:tc>
          <w:tcPr>
            <w:tcW w:w="7830" w:type="dxa"/>
          </w:tcPr>
          <w:p w:rsidR="0074210C" w:rsidRPr="00395AAE" w:rsidRDefault="0074210C" w:rsidP="0074210C">
            <w:pPr>
              <w:pStyle w:val="NoSpacing"/>
              <w:numPr>
                <w:ilvl w:val="0"/>
                <w:numId w:val="2"/>
              </w:numPr>
              <w:tabs>
                <w:tab w:val="left" w:pos="7182"/>
              </w:tabs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hyperlink r:id="rId25" w:history="1">
              <w:r w:rsidRPr="00395AAE">
                <w:rPr>
                  <w:rStyle w:val="Hyperlink"/>
                  <w:rFonts w:asciiTheme="majorBidi" w:hAnsiTheme="majorBidi" w:cstheme="majorBid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Issue Publication Information</w:t>
              </w:r>
            </w:hyperlink>
            <w:r w:rsidR="00691627">
              <w:t>…………</w:t>
            </w:r>
            <w:r w:rsidR="00691627">
              <w:t>……………………………………………………..</w:t>
            </w:r>
          </w:p>
        </w:tc>
        <w:tc>
          <w:tcPr>
            <w:tcW w:w="1187" w:type="dxa"/>
          </w:tcPr>
          <w:p w:rsidR="0074210C" w:rsidRDefault="0074210C" w:rsidP="0074210C">
            <w:pPr>
              <w:ind w:left="-108" w:right="-86"/>
            </w:pPr>
          </w:p>
        </w:tc>
      </w:tr>
    </w:tbl>
    <w:p w:rsidR="00B75491" w:rsidRDefault="00B75491" w:rsidP="00B75491"/>
    <w:p w:rsidR="000B2C1C" w:rsidRDefault="000B2C1C"/>
    <w:sectPr w:rsidR="000B2C1C" w:rsidSect="00DE486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6D65E3"/>
    <w:multiLevelType w:val="hybridMultilevel"/>
    <w:tmpl w:val="8B4AFCB8"/>
    <w:lvl w:ilvl="0" w:tplc="D32E35F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66BFD"/>
    <w:multiLevelType w:val="hybridMultilevel"/>
    <w:tmpl w:val="4EE62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491"/>
    <w:rsid w:val="000B2C1C"/>
    <w:rsid w:val="00691627"/>
    <w:rsid w:val="0074210C"/>
    <w:rsid w:val="00B7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7CC050-3538-40AF-B8A8-2C28F3686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5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7549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B754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s.acs.org/doi/full/10.1021/acscentsci.7b00229" TargetMode="External"/><Relationship Id="rId13" Type="http://schemas.openxmlformats.org/officeDocument/2006/relationships/hyperlink" Target="https://pubs.acs.org/doi/full/10.1021/acscentsci.7b00100" TargetMode="External"/><Relationship Id="rId18" Type="http://schemas.openxmlformats.org/officeDocument/2006/relationships/hyperlink" Target="https://pubs.acs.org/doi/full/10.1021/acscentsci.7b00157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pubs.acs.org/doi/full/10.1021/acscentsci.7b00207" TargetMode="External"/><Relationship Id="rId7" Type="http://schemas.openxmlformats.org/officeDocument/2006/relationships/hyperlink" Target="https://pubs.acs.org/doi/full/10.1021/acscentsci.7b00292" TargetMode="External"/><Relationship Id="rId12" Type="http://schemas.openxmlformats.org/officeDocument/2006/relationships/hyperlink" Target="https://pubs.acs.org/doi/full/10.1021/acscentsci.7b00251" TargetMode="External"/><Relationship Id="rId17" Type="http://schemas.openxmlformats.org/officeDocument/2006/relationships/hyperlink" Target="https://pubs.acs.org/doi/full/10.1021/acscentsci.7b00156" TargetMode="External"/><Relationship Id="rId25" Type="http://schemas.openxmlformats.org/officeDocument/2006/relationships/hyperlink" Target="https://pubs.acs.org/doi/full/10.1021/ocv003i007_1121641" TargetMode="External"/><Relationship Id="rId2" Type="http://schemas.openxmlformats.org/officeDocument/2006/relationships/styles" Target="styles.xml"/><Relationship Id="rId16" Type="http://schemas.openxmlformats.org/officeDocument/2006/relationships/hyperlink" Target="https://pubs.acs.org/doi/full/10.1021/acscentsci.7b00145" TargetMode="External"/><Relationship Id="rId20" Type="http://schemas.openxmlformats.org/officeDocument/2006/relationships/hyperlink" Target="https://pubs.acs.org/doi/full/10.1021/acscentsci.7b0018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ubs.acs.org/doi/full/10.1021/acscentsci.7b00291" TargetMode="External"/><Relationship Id="rId11" Type="http://schemas.openxmlformats.org/officeDocument/2006/relationships/hyperlink" Target="https://pubs.acs.org/doi/full/10.1021/acscentsci.7b00212" TargetMode="External"/><Relationship Id="rId24" Type="http://schemas.openxmlformats.org/officeDocument/2006/relationships/hyperlink" Target="https://pubs.acs.org/doi/full/10.1021/acscentsci.7b00253" TargetMode="External"/><Relationship Id="rId5" Type="http://schemas.openxmlformats.org/officeDocument/2006/relationships/hyperlink" Target="https://pubs.acs.org/doi/full/10.1021/acscentsci.7b00249" TargetMode="External"/><Relationship Id="rId15" Type="http://schemas.openxmlformats.org/officeDocument/2006/relationships/hyperlink" Target="https://pubs.acs.org/doi/full/10.1021/acscentsci.7b00130" TargetMode="External"/><Relationship Id="rId23" Type="http://schemas.openxmlformats.org/officeDocument/2006/relationships/hyperlink" Target="https://pubs.acs.org/doi/full/10.1021/acscentsci.7b00216" TargetMode="External"/><Relationship Id="rId10" Type="http://schemas.openxmlformats.org/officeDocument/2006/relationships/hyperlink" Target="https://pubs.acs.org/doi/full/10.1021/acscentsci.7b00277" TargetMode="External"/><Relationship Id="rId19" Type="http://schemas.openxmlformats.org/officeDocument/2006/relationships/hyperlink" Target="https://pubs.acs.org/doi/full/10.1021/acscentsci.7b001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s.acs.org/doi/full/10.1021/acscentsci.7b00275" TargetMode="External"/><Relationship Id="rId14" Type="http://schemas.openxmlformats.org/officeDocument/2006/relationships/hyperlink" Target="https://pubs.acs.org/doi/full/10.1021/acscentsci.7b00112" TargetMode="External"/><Relationship Id="rId22" Type="http://schemas.openxmlformats.org/officeDocument/2006/relationships/hyperlink" Target="https://pubs.acs.org/doi/full/10.1021/acscentsci.7b0021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2018-08-28T02:38:00Z</dcterms:created>
  <dcterms:modified xsi:type="dcterms:W3CDTF">2018-08-28T03:02:00Z</dcterms:modified>
</cp:coreProperties>
</file>