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259" w:rsidRPr="00592CE0" w:rsidRDefault="000E0259" w:rsidP="000E025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592CE0">
        <w:rPr>
          <w:rFonts w:asciiTheme="majorBidi" w:hAnsiTheme="majorBidi" w:cstheme="majorBidi"/>
          <w:b/>
          <w:bCs/>
          <w:sz w:val="32"/>
          <w:szCs w:val="32"/>
        </w:rPr>
        <w:t>Daftar</w:t>
      </w:r>
      <w:proofErr w:type="spellEnd"/>
      <w:r w:rsidRPr="00592CE0">
        <w:rPr>
          <w:rFonts w:asciiTheme="majorBidi" w:hAnsiTheme="majorBidi" w:cstheme="majorBidi"/>
          <w:b/>
          <w:bCs/>
          <w:sz w:val="32"/>
          <w:szCs w:val="32"/>
        </w:rPr>
        <w:t xml:space="preserve"> Isi</w:t>
      </w:r>
    </w:p>
    <w:p w:rsidR="000E0259" w:rsidRPr="00592CE0" w:rsidRDefault="000E0259" w:rsidP="000E0259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E0259">
        <w:rPr>
          <w:rFonts w:asciiTheme="majorBidi" w:hAnsiTheme="majorBidi" w:cstheme="majorBidi"/>
          <w:b/>
          <w:bCs/>
          <w:sz w:val="24"/>
          <w:szCs w:val="24"/>
        </w:rPr>
        <w:t xml:space="preserve">April 26, 2017 Volume 3, Issue 4 </w:t>
      </w:r>
      <w:bookmarkStart w:id="0" w:name="_GoBack"/>
      <w:bookmarkEnd w:id="0"/>
    </w:p>
    <w:p w:rsidR="000E0259" w:rsidRDefault="000E0259" w:rsidP="000E0259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0"/>
        <w:gridCol w:w="1187"/>
      </w:tblGrid>
      <w:tr w:rsidR="000E0259" w:rsidTr="000E0259">
        <w:tc>
          <w:tcPr>
            <w:tcW w:w="7830" w:type="dxa"/>
          </w:tcPr>
          <w:p w:rsidR="000E0259" w:rsidRPr="00DE4867" w:rsidRDefault="000E0259" w:rsidP="000E0259">
            <w:pPr>
              <w:ind w:right="432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Daftar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isi</w:t>
            </w:r>
            <w:proofErr w:type="spellEnd"/>
            <w:r>
              <w:t>……………………………………</w:t>
            </w:r>
            <w:r>
              <w:t>……………………………………………………………………….</w:t>
            </w:r>
          </w:p>
        </w:tc>
        <w:tc>
          <w:tcPr>
            <w:tcW w:w="1187" w:type="dxa"/>
          </w:tcPr>
          <w:p w:rsidR="000E0259" w:rsidRPr="00DE4867" w:rsidRDefault="000E0259" w:rsidP="00C5317C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proofErr w:type="spellEnd"/>
          </w:p>
        </w:tc>
      </w:tr>
      <w:tr w:rsidR="000E0259" w:rsidTr="000E0259">
        <w:tc>
          <w:tcPr>
            <w:tcW w:w="7830" w:type="dxa"/>
          </w:tcPr>
          <w:p w:rsidR="000E0259" w:rsidRPr="00F605F3" w:rsidRDefault="000E0259" w:rsidP="000E0259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05F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Cristina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Nevado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 (Senior Editor)</w:t>
            </w:r>
            <w:r w:rsidRPr="00F605F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hyperlink r:id="rId5" w:history="1">
              <w:r w:rsidRPr="00F605F3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Science Abroad</w:t>
              </w:r>
            </w:hyperlink>
            <w:r>
              <w:t>………………………………..</w:t>
            </w:r>
          </w:p>
        </w:tc>
        <w:tc>
          <w:tcPr>
            <w:tcW w:w="1187" w:type="dxa"/>
          </w:tcPr>
          <w:p w:rsidR="000E0259" w:rsidRPr="00DE4867" w:rsidRDefault="000E0259" w:rsidP="00C5317C">
            <w:pPr>
              <w:ind w:left="-108" w:right="-86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F605F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259–260</w:t>
            </w:r>
          </w:p>
        </w:tc>
      </w:tr>
      <w:tr w:rsidR="000E0259" w:rsidTr="000E0259">
        <w:tc>
          <w:tcPr>
            <w:tcW w:w="7830" w:type="dxa"/>
          </w:tcPr>
          <w:p w:rsidR="000E0259" w:rsidRPr="00F605F3" w:rsidRDefault="000E0259" w:rsidP="000E0259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05F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Mark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Peplow</w:t>
            </w:r>
            <w:proofErr w:type="spellEnd"/>
            <w:r w:rsidRPr="00F605F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hyperlink r:id="rId6" w:history="1">
              <w:r w:rsidRPr="00F605F3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A Conversation with Graham Hutchings</w:t>
              </w:r>
            </w:hyperlink>
            <w:r>
              <w:t>………………………..</w:t>
            </w:r>
          </w:p>
        </w:tc>
        <w:tc>
          <w:tcPr>
            <w:tcW w:w="1187" w:type="dxa"/>
          </w:tcPr>
          <w:p w:rsidR="000E0259" w:rsidRDefault="000E0259" w:rsidP="00C5317C">
            <w:pPr>
              <w:ind w:left="-108" w:right="-86"/>
            </w:pPr>
            <w:r w:rsidRPr="00F605F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261–262</w:t>
            </w:r>
          </w:p>
        </w:tc>
      </w:tr>
      <w:tr w:rsidR="000E0259" w:rsidTr="000E0259">
        <w:tc>
          <w:tcPr>
            <w:tcW w:w="7830" w:type="dxa"/>
          </w:tcPr>
          <w:p w:rsidR="000E0259" w:rsidRPr="00F605F3" w:rsidRDefault="000E0259" w:rsidP="000E0259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05F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Deirdre Lockwood</w:t>
            </w:r>
            <w:r w:rsidRPr="00F605F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hyperlink r:id="rId7" w:history="1">
              <w:r w:rsidRPr="00F605F3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Can Shellfish Adapt to Ocean Acidification?</w:t>
              </w:r>
            </w:hyperlink>
            <w:r>
              <w:t xml:space="preserve"> ……….</w:t>
            </w:r>
          </w:p>
        </w:tc>
        <w:tc>
          <w:tcPr>
            <w:tcW w:w="1187" w:type="dxa"/>
          </w:tcPr>
          <w:p w:rsidR="000E0259" w:rsidRDefault="000E0259" w:rsidP="00C5317C">
            <w:pPr>
              <w:ind w:left="-108" w:right="-86"/>
            </w:pPr>
            <w:r w:rsidRPr="00F605F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263–265</w:t>
            </w:r>
          </w:p>
        </w:tc>
      </w:tr>
      <w:tr w:rsidR="000E0259" w:rsidTr="000E0259">
        <w:tc>
          <w:tcPr>
            <w:tcW w:w="7830" w:type="dxa"/>
          </w:tcPr>
          <w:p w:rsidR="000E0259" w:rsidRPr="00F605F3" w:rsidRDefault="000E0259" w:rsidP="000E0259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05F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Evan W. Miller</w:t>
            </w:r>
            <w:r w:rsidRPr="00F605F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, </w:t>
            </w:r>
            <w:hyperlink r:id="rId8" w:history="1">
              <w:r w:rsidRPr="00F605F3">
                <w:rPr>
                  <w:rFonts w:asciiTheme="majorBidi" w:hAnsiTheme="majorBidi" w:cstheme="majorBidi"/>
                  <w:color w:val="000000"/>
                  <w:sz w:val="24"/>
                  <w:szCs w:val="24"/>
                </w:rPr>
                <w:t>(Near-Infra) Red Means STOP: Shutting Down Cancer with NIR Light</w:t>
              </w:r>
            </w:hyperlink>
            <w:r>
              <w:t>……………………………………………………</w:t>
            </w:r>
            <w:r>
              <w:t>………………………….</w:t>
            </w:r>
          </w:p>
        </w:tc>
        <w:tc>
          <w:tcPr>
            <w:tcW w:w="1187" w:type="dxa"/>
          </w:tcPr>
          <w:p w:rsidR="000E0259" w:rsidRDefault="000E0259" w:rsidP="00C5317C">
            <w:pPr>
              <w:ind w:left="-108" w:right="-86"/>
            </w:pPr>
            <w:r w:rsidRPr="00F605F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266–268</w:t>
            </w:r>
          </w:p>
        </w:tc>
      </w:tr>
      <w:tr w:rsidR="000E0259" w:rsidTr="000E0259">
        <w:tc>
          <w:tcPr>
            <w:tcW w:w="7830" w:type="dxa"/>
          </w:tcPr>
          <w:p w:rsidR="000E0259" w:rsidRPr="00F605F3" w:rsidRDefault="000E0259" w:rsidP="000E0259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Alexander R.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Lippert</w:t>
            </w:r>
            <w:proofErr w:type="spellEnd"/>
            <w:r w:rsidRPr="00F605F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hyperlink r:id="rId9" w:history="1"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 xml:space="preserve">Unlocking the Potential of </w:t>
              </w:r>
              <w:proofErr w:type="spellStart"/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>Chemiluminescence</w:t>
              </w:r>
              <w:proofErr w:type="spellEnd"/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 xml:space="preserve"> Imaging</w:t>
              </w:r>
            </w:hyperlink>
            <w:r>
              <w:t>……………………………………………………</w:t>
            </w:r>
            <w:r>
              <w:t>………………………………………………….</w:t>
            </w:r>
          </w:p>
        </w:tc>
        <w:tc>
          <w:tcPr>
            <w:tcW w:w="1187" w:type="dxa"/>
          </w:tcPr>
          <w:p w:rsidR="000E0259" w:rsidRDefault="000E0259" w:rsidP="00C5317C">
            <w:pPr>
              <w:ind w:left="-108" w:right="-86"/>
            </w:pPr>
            <w:r w:rsidRPr="00F605F3">
              <w:rPr>
                <w:rFonts w:asciiTheme="majorBidi" w:hAnsiTheme="majorBidi" w:cstheme="majorBidi"/>
                <w:sz w:val="24"/>
                <w:szCs w:val="24"/>
              </w:rPr>
              <w:t>269–271</w:t>
            </w:r>
          </w:p>
        </w:tc>
      </w:tr>
      <w:tr w:rsidR="000E0259" w:rsidTr="000E0259">
        <w:tc>
          <w:tcPr>
            <w:tcW w:w="7830" w:type="dxa"/>
          </w:tcPr>
          <w:p w:rsidR="000E0259" w:rsidRPr="00F605F3" w:rsidRDefault="000E0259" w:rsidP="000E0259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Mikhail O. Konev and Elizabeth R.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Jarvo</w:t>
            </w:r>
            <w:proofErr w:type="spellEnd"/>
            <w:r w:rsidRPr="00F605F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hyperlink r:id="rId10" w:history="1">
              <w:proofErr w:type="spellStart"/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>Nitroxyl</w:t>
              </w:r>
              <w:proofErr w:type="spellEnd"/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 xml:space="preserve"> Surprise: A Simple Amine Additive Revealed as Copper’s Co-Catalyst in the Aerobic Oxidation of Alcohols</w:t>
              </w:r>
            </w:hyperlink>
            <w:r>
              <w:t>……………………………………………………</w:t>
            </w:r>
            <w:r>
              <w:t>…………….</w:t>
            </w:r>
          </w:p>
        </w:tc>
        <w:tc>
          <w:tcPr>
            <w:tcW w:w="1187" w:type="dxa"/>
          </w:tcPr>
          <w:p w:rsidR="000E0259" w:rsidRDefault="000E0259" w:rsidP="00C5317C">
            <w:pPr>
              <w:ind w:left="-108" w:right="-86"/>
            </w:pPr>
            <w:r w:rsidRPr="00F605F3">
              <w:rPr>
                <w:rFonts w:asciiTheme="majorBidi" w:hAnsiTheme="majorBidi" w:cstheme="majorBidi"/>
                <w:sz w:val="24"/>
                <w:szCs w:val="24"/>
              </w:rPr>
              <w:t>272–274</w:t>
            </w:r>
          </w:p>
        </w:tc>
      </w:tr>
      <w:tr w:rsidR="000E0259" w:rsidTr="000E0259">
        <w:tc>
          <w:tcPr>
            <w:tcW w:w="7830" w:type="dxa"/>
          </w:tcPr>
          <w:p w:rsidR="000E0259" w:rsidRPr="00F605F3" w:rsidRDefault="000E0259" w:rsidP="000E0259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Benjamín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Sánchez-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Lengeling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 and Alan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Aspuru-Guzik</w:t>
            </w:r>
            <w:proofErr w:type="spellEnd"/>
            <w:r w:rsidRPr="00F605F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hyperlink r:id="rId11" w:history="1"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>Learning More, with Less</w:t>
              </w:r>
            </w:hyperlink>
            <w:r>
              <w:t>……………………………………………………</w:t>
            </w:r>
            <w:r>
              <w:t>……………………………………..</w:t>
            </w:r>
          </w:p>
        </w:tc>
        <w:tc>
          <w:tcPr>
            <w:tcW w:w="1187" w:type="dxa"/>
          </w:tcPr>
          <w:p w:rsidR="000E0259" w:rsidRDefault="000E0259" w:rsidP="00C5317C">
            <w:pPr>
              <w:ind w:left="-108" w:right="-86"/>
            </w:pPr>
            <w:r w:rsidRPr="00F605F3">
              <w:rPr>
                <w:rFonts w:asciiTheme="majorBidi" w:hAnsiTheme="majorBidi" w:cstheme="majorBidi"/>
                <w:sz w:val="24"/>
                <w:szCs w:val="24"/>
              </w:rPr>
              <w:t>275–277</w:t>
            </w:r>
          </w:p>
        </w:tc>
      </w:tr>
      <w:tr w:rsidR="000E0259" w:rsidTr="000E0259">
        <w:tc>
          <w:tcPr>
            <w:tcW w:w="7830" w:type="dxa"/>
          </w:tcPr>
          <w:p w:rsidR="000E0259" w:rsidRPr="00F605F3" w:rsidRDefault="000E0259" w:rsidP="000E0259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Chen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Xu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Arthur Han, Scott C. Virgil, and Sarah E.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Reisman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F605F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12" w:history="1"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>Chemical Synthesis of (+)-Ryanodine and (+)-20-Deoxyspiganthine</w:t>
              </w:r>
            </w:hyperlink>
            <w:r>
              <w:t>……</w:t>
            </w:r>
          </w:p>
        </w:tc>
        <w:tc>
          <w:tcPr>
            <w:tcW w:w="1187" w:type="dxa"/>
          </w:tcPr>
          <w:p w:rsidR="000E0259" w:rsidRDefault="000E0259" w:rsidP="00C5317C">
            <w:pPr>
              <w:ind w:left="-108" w:right="-86"/>
            </w:pPr>
            <w:r w:rsidRPr="00F605F3">
              <w:rPr>
                <w:rFonts w:asciiTheme="majorBidi" w:hAnsiTheme="majorBidi" w:cstheme="majorBidi"/>
                <w:sz w:val="24"/>
                <w:szCs w:val="24"/>
              </w:rPr>
              <w:t>278–282</w:t>
            </w:r>
          </w:p>
        </w:tc>
      </w:tr>
      <w:tr w:rsidR="000E0259" w:rsidTr="000E0259">
        <w:tc>
          <w:tcPr>
            <w:tcW w:w="7830" w:type="dxa"/>
          </w:tcPr>
          <w:p w:rsidR="000E0259" w:rsidRPr="00F605F3" w:rsidRDefault="000E0259" w:rsidP="000E0259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Han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Altae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-Tran, 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Bharath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Ramsundar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Aneesh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S.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Pappu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Vijay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Pande</w:t>
            </w:r>
            <w:proofErr w:type="spellEnd"/>
            <w:r w:rsidRPr="00F605F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hyperlink r:id="rId13" w:history="1"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>Low Data Drug Discovery with One-Shot Learning</w:t>
              </w:r>
            </w:hyperlink>
            <w:r>
              <w:t>…………………..</w:t>
            </w:r>
          </w:p>
        </w:tc>
        <w:tc>
          <w:tcPr>
            <w:tcW w:w="1187" w:type="dxa"/>
          </w:tcPr>
          <w:p w:rsidR="000E0259" w:rsidRDefault="000E0259" w:rsidP="00C5317C">
            <w:pPr>
              <w:ind w:left="-108" w:right="-86"/>
            </w:pPr>
            <w:r w:rsidRPr="00F605F3">
              <w:rPr>
                <w:rFonts w:asciiTheme="majorBidi" w:hAnsiTheme="majorBidi" w:cstheme="majorBidi"/>
                <w:sz w:val="24"/>
                <w:szCs w:val="24"/>
              </w:rPr>
              <w:t>283–293</w:t>
            </w:r>
          </w:p>
        </w:tc>
      </w:tr>
      <w:tr w:rsidR="000E0259" w:rsidTr="000E0259">
        <w:tc>
          <w:tcPr>
            <w:tcW w:w="7830" w:type="dxa"/>
          </w:tcPr>
          <w:p w:rsidR="000E0259" w:rsidRPr="00F605F3" w:rsidRDefault="000E0259" w:rsidP="000E0259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Yonggang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Yao, 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Fengjuan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Chen, 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Anmin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Nie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Steven D. Lacey, 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Rohit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Jiji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Jacob, 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Shaomao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Xu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Zhennan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Huang, Kun Fu, 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Jiaqi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Dai, Lourdes Salamanca-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Riba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Michael R. Zachariah, Reza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Shahbazian-Yassar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and 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Liangbing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Hu</w:t>
            </w:r>
            <w:r w:rsidRPr="00F605F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hyperlink r:id="rId14" w:history="1">
              <w:r w:rsidRPr="00F605F3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In Situ</w:t>
              </w:r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> High Temperature Synthesis of Single-Component Metallic Nanoparticles</w:t>
              </w:r>
            </w:hyperlink>
            <w:r>
              <w:t>………………………….</w:t>
            </w:r>
          </w:p>
        </w:tc>
        <w:tc>
          <w:tcPr>
            <w:tcW w:w="1187" w:type="dxa"/>
          </w:tcPr>
          <w:p w:rsidR="000E0259" w:rsidRDefault="000E0259" w:rsidP="00C5317C">
            <w:pPr>
              <w:ind w:left="-108" w:right="-86"/>
            </w:pPr>
            <w:r w:rsidRPr="00F605F3">
              <w:rPr>
                <w:rFonts w:asciiTheme="majorBidi" w:hAnsiTheme="majorBidi" w:cstheme="majorBidi"/>
                <w:sz w:val="24"/>
                <w:szCs w:val="24"/>
              </w:rPr>
              <w:t>294–301</w:t>
            </w:r>
          </w:p>
        </w:tc>
      </w:tr>
      <w:tr w:rsidR="000E0259" w:rsidTr="000E0259">
        <w:tc>
          <w:tcPr>
            <w:tcW w:w="7830" w:type="dxa"/>
          </w:tcPr>
          <w:p w:rsidR="000E0259" w:rsidRPr="00F605F3" w:rsidRDefault="000E0259" w:rsidP="000E0259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Hanna M. Key, 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Paweł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Dydio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Zhennan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Liu, Jennifer Y.-E.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Rha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Andrew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Nazarenko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Vida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Seyedkazemi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Douglas S. Clark, and John F.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Hartwig</w:t>
            </w:r>
            <w:proofErr w:type="spellEnd"/>
            <w:r w:rsidRPr="00F605F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hyperlink r:id="rId15" w:history="1"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 xml:space="preserve">Beyond Iron: Iridium-Containing P450 Enzymes for Selective </w:t>
              </w:r>
              <w:proofErr w:type="spellStart"/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>Cyclopropanations</w:t>
              </w:r>
              <w:proofErr w:type="spellEnd"/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 xml:space="preserve"> of Structurally Diverse Alkenes</w:t>
              </w:r>
            </w:hyperlink>
            <w:r>
              <w:t>……………………………………………………</w:t>
            </w:r>
            <w:r>
              <w:t>…………………………………………………..</w:t>
            </w:r>
          </w:p>
        </w:tc>
        <w:tc>
          <w:tcPr>
            <w:tcW w:w="1187" w:type="dxa"/>
          </w:tcPr>
          <w:p w:rsidR="000E0259" w:rsidRDefault="000E0259" w:rsidP="00C5317C">
            <w:pPr>
              <w:ind w:left="-108" w:right="-86"/>
            </w:pPr>
            <w:r w:rsidRPr="00F605F3">
              <w:rPr>
                <w:rFonts w:asciiTheme="majorBidi" w:hAnsiTheme="majorBidi" w:cstheme="majorBidi"/>
                <w:sz w:val="24"/>
                <w:szCs w:val="24"/>
              </w:rPr>
              <w:t>302–308</w:t>
            </w:r>
          </w:p>
        </w:tc>
      </w:tr>
      <w:tr w:rsidR="000E0259" w:rsidTr="000E0259">
        <w:tc>
          <w:tcPr>
            <w:tcW w:w="7830" w:type="dxa"/>
          </w:tcPr>
          <w:p w:rsidR="000E0259" w:rsidRPr="00F605F3" w:rsidRDefault="000E0259" w:rsidP="000E0259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Qifan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Zhang, 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Suchol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Savagatrup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Paulina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Kaplonek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Peter H.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Seeberger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Timothy M.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Swager</w:t>
            </w:r>
            <w:proofErr w:type="spellEnd"/>
            <w:r w:rsidRPr="00F605F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hyperlink r:id="rId16" w:history="1"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>Janus Emulsions for the Detection of Bacteria</w:t>
              </w:r>
            </w:hyperlink>
            <w:r>
              <w:t>……………………………………………………</w:t>
            </w:r>
            <w:r>
              <w:t>…………………………….</w:t>
            </w:r>
          </w:p>
        </w:tc>
        <w:tc>
          <w:tcPr>
            <w:tcW w:w="1187" w:type="dxa"/>
          </w:tcPr>
          <w:p w:rsidR="000E0259" w:rsidRDefault="000E0259" w:rsidP="00C5317C">
            <w:pPr>
              <w:ind w:left="-108" w:right="-86"/>
            </w:pPr>
            <w:r w:rsidRPr="00F605F3">
              <w:rPr>
                <w:rFonts w:asciiTheme="majorBidi" w:hAnsiTheme="majorBidi" w:cstheme="majorBidi"/>
                <w:sz w:val="24"/>
                <w:szCs w:val="24"/>
              </w:rPr>
              <w:t>309–313</w:t>
            </w:r>
          </w:p>
        </w:tc>
      </w:tr>
      <w:tr w:rsidR="000E0259" w:rsidTr="000E0259">
        <w:tc>
          <w:tcPr>
            <w:tcW w:w="7830" w:type="dxa"/>
          </w:tcPr>
          <w:p w:rsidR="000E0259" w:rsidRPr="00F605F3" w:rsidRDefault="000E0259" w:rsidP="000E0259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Scott D. McCann, Jean-Philip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Lumb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Bruce A.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Arndtsen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 and Shannon S. Stahl</w:t>
            </w:r>
            <w:r w:rsidRPr="00F605F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hyperlink r:id="rId17" w:history="1"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 xml:space="preserve">Second-Order </w:t>
              </w:r>
              <w:proofErr w:type="spellStart"/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>Biomimicry</w:t>
              </w:r>
              <w:proofErr w:type="spellEnd"/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>: In Situ Oxidative Self-Processing Converts Copper(I)/</w:t>
              </w:r>
              <w:proofErr w:type="spellStart"/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>Diamine</w:t>
              </w:r>
              <w:proofErr w:type="spellEnd"/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 xml:space="preserve"> Precursor into a Highly Active Aerobic Oxidation Catalyst</w:t>
              </w:r>
            </w:hyperlink>
            <w:r>
              <w:t>……………………………………………………</w:t>
            </w:r>
            <w:r>
              <w:t>………</w:t>
            </w:r>
          </w:p>
        </w:tc>
        <w:tc>
          <w:tcPr>
            <w:tcW w:w="1187" w:type="dxa"/>
          </w:tcPr>
          <w:p w:rsidR="000E0259" w:rsidRDefault="000E0259" w:rsidP="00C5317C">
            <w:pPr>
              <w:ind w:left="-108" w:right="-86"/>
            </w:pPr>
            <w:r w:rsidRPr="00F605F3">
              <w:rPr>
                <w:rFonts w:asciiTheme="majorBidi" w:hAnsiTheme="majorBidi" w:cstheme="majorBidi"/>
                <w:sz w:val="24"/>
                <w:szCs w:val="24"/>
              </w:rPr>
              <w:t>314–321</w:t>
            </w:r>
          </w:p>
        </w:tc>
      </w:tr>
      <w:tr w:rsidR="000E0259" w:rsidTr="000E0259">
        <w:tc>
          <w:tcPr>
            <w:tcW w:w="7830" w:type="dxa"/>
          </w:tcPr>
          <w:p w:rsidR="000E0259" w:rsidRPr="00F605F3" w:rsidRDefault="000E0259" w:rsidP="000E0259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Alexander J. Wagner, Dmitry Yu.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Zubarev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Alan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Aspuru-Guzik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and Donna G.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Blackmond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</w:t>
            </w:r>
            <w:r w:rsidRPr="00F605F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18" w:history="1"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 xml:space="preserve">Chiral Sugars Drive </w:t>
              </w:r>
              <w:proofErr w:type="spellStart"/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>Enantioenrichment</w:t>
              </w:r>
              <w:proofErr w:type="spellEnd"/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 xml:space="preserve"> in Prebiotic Amino Acid Synthesis</w:t>
              </w:r>
            </w:hyperlink>
            <w:r>
              <w:t>……………………………………………………</w:t>
            </w:r>
            <w:r>
              <w:t>…………..</w:t>
            </w:r>
          </w:p>
        </w:tc>
        <w:tc>
          <w:tcPr>
            <w:tcW w:w="1187" w:type="dxa"/>
          </w:tcPr>
          <w:p w:rsidR="000E0259" w:rsidRDefault="000E0259" w:rsidP="00C5317C">
            <w:pPr>
              <w:ind w:left="-108" w:right="-86"/>
            </w:pPr>
            <w:r w:rsidRPr="00F605F3">
              <w:rPr>
                <w:rFonts w:asciiTheme="majorBidi" w:hAnsiTheme="majorBidi" w:cstheme="majorBidi"/>
                <w:sz w:val="24"/>
                <w:szCs w:val="24"/>
              </w:rPr>
              <w:t>322–328</w:t>
            </w:r>
          </w:p>
        </w:tc>
      </w:tr>
      <w:tr w:rsidR="000E0259" w:rsidTr="000E0259">
        <w:tc>
          <w:tcPr>
            <w:tcW w:w="7830" w:type="dxa"/>
          </w:tcPr>
          <w:p w:rsidR="000E0259" w:rsidRPr="00F605F3" w:rsidRDefault="000E0259" w:rsidP="000E0259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Roger R.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Nani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Alexander P.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Gorka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Tadanobu Nagaya, Tsuyoshi Yamamoto, Joseph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Ivanic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Hisataka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Kobayashi, and Martin J.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Schnermann</w:t>
            </w:r>
            <w:proofErr w:type="spellEnd"/>
            <w:r w:rsidRPr="00F605F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hyperlink r:id="rId19" w:history="1">
              <w:r w:rsidRPr="00F605F3">
                <w:rPr>
                  <w:rFonts w:asciiTheme="majorBidi" w:hAnsiTheme="majorBidi" w:cstheme="majorBidi"/>
                  <w:i/>
                  <w:iCs/>
                  <w:sz w:val="24"/>
                  <w:szCs w:val="24"/>
                </w:rPr>
                <w:t>In Vivo</w:t>
              </w:r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 xml:space="preserve"> Activation of </w:t>
              </w:r>
              <w:proofErr w:type="spellStart"/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>Duocarmycin</w:t>
              </w:r>
              <w:proofErr w:type="spellEnd"/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>–Antibody Conjugates by Near-Infrared Light</w:t>
              </w:r>
            </w:hyperlink>
            <w:r>
              <w:t>……………………………………………………</w:t>
            </w:r>
            <w:r>
              <w:t>………</w:t>
            </w:r>
          </w:p>
        </w:tc>
        <w:tc>
          <w:tcPr>
            <w:tcW w:w="1187" w:type="dxa"/>
          </w:tcPr>
          <w:p w:rsidR="000E0259" w:rsidRDefault="000E0259" w:rsidP="00C5317C">
            <w:pPr>
              <w:ind w:left="-108" w:right="-86"/>
            </w:pPr>
            <w:r w:rsidRPr="00F605F3">
              <w:rPr>
                <w:rFonts w:asciiTheme="majorBidi" w:hAnsiTheme="majorBidi" w:cstheme="majorBidi"/>
                <w:sz w:val="24"/>
                <w:szCs w:val="24"/>
              </w:rPr>
              <w:t>329–337</w:t>
            </w:r>
          </w:p>
        </w:tc>
      </w:tr>
      <w:tr w:rsidR="000E0259" w:rsidTr="000E0259">
        <w:tc>
          <w:tcPr>
            <w:tcW w:w="7830" w:type="dxa"/>
          </w:tcPr>
          <w:p w:rsidR="000E0259" w:rsidRPr="00F605F3" w:rsidRDefault="000E0259" w:rsidP="000E0259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Alessondra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T.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Speidel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Daniel J. Stuckey, Lesley W. Chow, Laurence H. Jackson, 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Michela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Noseda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Marta Abreu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Paiva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Michael D. Schneider, and Molly M. Stevens</w:t>
            </w:r>
            <w:r w:rsidRPr="00F605F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hyperlink r:id="rId20" w:history="1"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>Multimodal Hydrogel-Based Platform To Deliver and Monitor Cardiac Progenitor/Stem Cell Engraftment</w:t>
              </w:r>
            </w:hyperlink>
            <w:r>
              <w:t>……………………………………………………</w:t>
            </w:r>
            <w:r>
              <w:t>……….</w:t>
            </w:r>
          </w:p>
        </w:tc>
        <w:tc>
          <w:tcPr>
            <w:tcW w:w="1187" w:type="dxa"/>
          </w:tcPr>
          <w:p w:rsidR="000E0259" w:rsidRDefault="000E0259" w:rsidP="00C5317C">
            <w:pPr>
              <w:ind w:left="-108" w:right="-86"/>
            </w:pPr>
            <w:r w:rsidRPr="00F605F3">
              <w:rPr>
                <w:rFonts w:asciiTheme="majorBidi" w:hAnsiTheme="majorBidi" w:cstheme="majorBidi"/>
                <w:sz w:val="24"/>
                <w:szCs w:val="24"/>
              </w:rPr>
              <w:t>338–348</w:t>
            </w:r>
          </w:p>
        </w:tc>
      </w:tr>
      <w:tr w:rsidR="000E0259" w:rsidTr="000E0259">
        <w:tc>
          <w:tcPr>
            <w:tcW w:w="7830" w:type="dxa"/>
          </w:tcPr>
          <w:p w:rsidR="000E0259" w:rsidRPr="00F605F3" w:rsidRDefault="000E0259" w:rsidP="000E0259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Ori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Green, Tal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Eilon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Nir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Hananya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Sara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Gutkin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Christoph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R. Bauer, and 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Doron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Shabat</w:t>
            </w:r>
            <w:proofErr w:type="spellEnd"/>
            <w:r w:rsidRPr="00F605F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hyperlink r:id="rId21" w:history="1"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 xml:space="preserve">Opening a Gateway for </w:t>
              </w:r>
              <w:proofErr w:type="spellStart"/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>Chemiluminescence</w:t>
              </w:r>
              <w:proofErr w:type="spellEnd"/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 xml:space="preserve"> Cell Imaging: Distinctive Methodology for Design of Bright </w:t>
              </w:r>
              <w:proofErr w:type="spellStart"/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>Chemiluminescent</w:t>
              </w:r>
              <w:proofErr w:type="spellEnd"/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 xml:space="preserve"> </w:t>
              </w:r>
              <w:proofErr w:type="spellStart"/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>Dioxetane</w:t>
              </w:r>
              <w:proofErr w:type="spellEnd"/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 xml:space="preserve"> Probes</w:t>
              </w:r>
            </w:hyperlink>
            <w:r>
              <w:t>………………………………………..</w:t>
            </w:r>
          </w:p>
        </w:tc>
        <w:tc>
          <w:tcPr>
            <w:tcW w:w="1187" w:type="dxa"/>
          </w:tcPr>
          <w:p w:rsidR="000E0259" w:rsidRDefault="000E0259" w:rsidP="00C5317C">
            <w:pPr>
              <w:ind w:left="-108" w:right="-86"/>
            </w:pPr>
            <w:r w:rsidRPr="00F605F3">
              <w:rPr>
                <w:rFonts w:asciiTheme="majorBidi" w:hAnsiTheme="majorBidi" w:cstheme="majorBidi"/>
                <w:sz w:val="24"/>
                <w:szCs w:val="24"/>
              </w:rPr>
              <w:t>349–358</w:t>
            </w:r>
          </w:p>
        </w:tc>
      </w:tr>
      <w:tr w:rsidR="000E0259" w:rsidTr="000E0259">
        <w:tc>
          <w:tcPr>
            <w:tcW w:w="7830" w:type="dxa"/>
          </w:tcPr>
          <w:p w:rsidR="000E0259" w:rsidRPr="00F605F3" w:rsidRDefault="000E0259" w:rsidP="000E0259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Chang Liu, J. C. Yves Le Blanc, Bradley B. Schneider, 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Jefry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Shields, James J. Federico III, 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Hui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Zhang, Justin G. Stroh, Gregory W. Kauffman, Daniel W. Kung, Michael Shapiro, Christian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Ieritano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Evan Shepherdson, Mitch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Verbuyst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Luke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Melo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Moaraj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Hasan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Dalia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Naser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 John S. </w:t>
            </w:r>
            <w:proofErr w:type="spellStart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Janiszewski</w:t>
            </w:r>
            <w:proofErr w:type="spellEnd"/>
            <w:r w:rsidRPr="00F605F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, W. Scott Hopkins, and J. Larry Campbell</w:t>
            </w:r>
            <w:r w:rsidRPr="00F605F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hyperlink r:id="rId22" w:history="1"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 xml:space="preserve">Correction to “Assessing Physicochemical Properties of Drug Molecules via </w:t>
              </w:r>
              <w:proofErr w:type="spellStart"/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>Microsolvation</w:t>
              </w:r>
              <w:proofErr w:type="spellEnd"/>
              <w:r w:rsidRPr="00F605F3">
                <w:rPr>
                  <w:rFonts w:asciiTheme="majorBidi" w:hAnsiTheme="majorBidi" w:cstheme="majorBidi"/>
                  <w:sz w:val="24"/>
                  <w:szCs w:val="24"/>
                </w:rPr>
                <w:t xml:space="preserve"> Measurements with Differential Mobility Spectrometry”</w:t>
              </w:r>
            </w:hyperlink>
            <w:r>
              <w:t xml:space="preserve"> </w:t>
            </w:r>
            <w:r>
              <w:t>……………………………………………………</w:t>
            </w:r>
            <w:r>
              <w:t>…..</w:t>
            </w:r>
          </w:p>
        </w:tc>
        <w:tc>
          <w:tcPr>
            <w:tcW w:w="1187" w:type="dxa"/>
          </w:tcPr>
          <w:p w:rsidR="000E0259" w:rsidRDefault="000E0259" w:rsidP="00C5317C">
            <w:pPr>
              <w:ind w:left="-108" w:right="-86"/>
            </w:pPr>
            <w:r w:rsidRPr="00F605F3">
              <w:rPr>
                <w:rFonts w:asciiTheme="majorBidi" w:hAnsiTheme="majorBidi" w:cstheme="majorBidi"/>
                <w:sz w:val="24"/>
                <w:szCs w:val="24"/>
              </w:rPr>
              <w:t>359–359</w:t>
            </w:r>
          </w:p>
        </w:tc>
      </w:tr>
      <w:tr w:rsidR="000E0259" w:rsidTr="000E0259">
        <w:tc>
          <w:tcPr>
            <w:tcW w:w="7830" w:type="dxa"/>
          </w:tcPr>
          <w:p w:rsidR="000E0259" w:rsidRPr="00F605F3" w:rsidRDefault="000E0259" w:rsidP="000E0259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Style w:val="Hyperlink"/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23" w:history="1">
              <w:r w:rsidRPr="00F605F3">
                <w:rPr>
                  <w:rStyle w:val="Hyperlink"/>
                  <w:rFonts w:asciiTheme="majorBidi" w:hAnsiTheme="majorBidi" w:cstheme="majorBid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Issue Editorial Masthead</w:t>
              </w:r>
            </w:hyperlink>
            <w:r>
              <w:t>……………………………………………………</w:t>
            </w:r>
            <w:r>
              <w:t>……………………</w:t>
            </w:r>
          </w:p>
        </w:tc>
        <w:tc>
          <w:tcPr>
            <w:tcW w:w="1187" w:type="dxa"/>
          </w:tcPr>
          <w:p w:rsidR="000E0259" w:rsidRDefault="000E0259" w:rsidP="00C5317C">
            <w:pPr>
              <w:ind w:left="-108" w:right="-86"/>
            </w:pPr>
          </w:p>
        </w:tc>
      </w:tr>
      <w:tr w:rsidR="000E0259" w:rsidTr="000E0259">
        <w:tc>
          <w:tcPr>
            <w:tcW w:w="7830" w:type="dxa"/>
          </w:tcPr>
          <w:p w:rsidR="000E0259" w:rsidRPr="00F605F3" w:rsidRDefault="000E0259" w:rsidP="000E0259">
            <w:pPr>
              <w:pStyle w:val="NoSpacing"/>
              <w:numPr>
                <w:ilvl w:val="0"/>
                <w:numId w:val="2"/>
              </w:numPr>
              <w:ind w:left="360" w:right="432"/>
              <w:jc w:val="both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24" w:history="1">
              <w:r w:rsidRPr="00F605F3">
                <w:rPr>
                  <w:rStyle w:val="Hyperlink"/>
                  <w:rFonts w:asciiTheme="majorBidi" w:hAnsiTheme="majorBidi" w:cstheme="majorBid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Issue Publication Information</w:t>
              </w:r>
            </w:hyperlink>
            <w:r>
              <w:t>……………………………………………………</w:t>
            </w:r>
            <w:r>
              <w:t>…………..</w:t>
            </w:r>
          </w:p>
        </w:tc>
        <w:tc>
          <w:tcPr>
            <w:tcW w:w="1187" w:type="dxa"/>
          </w:tcPr>
          <w:p w:rsidR="000E0259" w:rsidRDefault="000E0259" w:rsidP="00C5317C">
            <w:pPr>
              <w:ind w:left="-108" w:right="-86"/>
            </w:pPr>
          </w:p>
        </w:tc>
      </w:tr>
    </w:tbl>
    <w:p w:rsidR="000B2C1C" w:rsidRDefault="000B2C1C"/>
    <w:sectPr w:rsidR="000B2C1C" w:rsidSect="00DE4867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F864D4"/>
    <w:multiLevelType w:val="hybridMultilevel"/>
    <w:tmpl w:val="C032C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66BFD"/>
    <w:multiLevelType w:val="hybridMultilevel"/>
    <w:tmpl w:val="4EE62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59"/>
    <w:rsid w:val="000B2C1C"/>
    <w:rsid w:val="000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094DF-1C4F-4B45-8CED-C0CFA605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E0259"/>
    <w:pPr>
      <w:ind w:left="720"/>
      <w:contextualSpacing/>
    </w:pPr>
  </w:style>
  <w:style w:type="paragraph" w:styleId="NoSpacing">
    <w:name w:val="No Spacing"/>
    <w:uiPriority w:val="1"/>
    <w:qFormat/>
    <w:rsid w:val="000E0259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0E0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s.acs.org/doi/full/10.1021/acscentsci.7b00102" TargetMode="External"/><Relationship Id="rId13" Type="http://schemas.openxmlformats.org/officeDocument/2006/relationships/hyperlink" Target="https://pubs.acs.org/doi/full/10.1021/acscentsci.6b00367" TargetMode="External"/><Relationship Id="rId18" Type="http://schemas.openxmlformats.org/officeDocument/2006/relationships/hyperlink" Target="https://pubs.acs.org/doi/full/10.1021/acscentsci.7b00085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pubs.acs.org/doi/full/10.1021/acscentsci.7b00058" TargetMode="External"/><Relationship Id="rId7" Type="http://schemas.openxmlformats.org/officeDocument/2006/relationships/hyperlink" Target="https://pubs.acs.org/doi/full/10.1021/acscentsci.7b00151" TargetMode="External"/><Relationship Id="rId12" Type="http://schemas.openxmlformats.org/officeDocument/2006/relationships/hyperlink" Target="https://pubs.acs.org/doi/full/10.1021/acscentsci.6b00361" TargetMode="External"/><Relationship Id="rId17" Type="http://schemas.openxmlformats.org/officeDocument/2006/relationships/hyperlink" Target="https://pubs.acs.org/doi/full/10.1021/acscentsci.7b0002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ubs.acs.org/doi/full/10.1021/acscentsci.7b00021" TargetMode="External"/><Relationship Id="rId20" Type="http://schemas.openxmlformats.org/officeDocument/2006/relationships/hyperlink" Target="https://pubs.acs.org/doi/full/10.1021/acscentsci.7b000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ubs.acs.org/doi/full/10.1021/acscentsci.7b00137" TargetMode="External"/><Relationship Id="rId11" Type="http://schemas.openxmlformats.org/officeDocument/2006/relationships/hyperlink" Target="https://pubs.acs.org/doi/full/10.1021/acscentsci.7b00153" TargetMode="External"/><Relationship Id="rId24" Type="http://schemas.openxmlformats.org/officeDocument/2006/relationships/hyperlink" Target="https://pubs.acs.org/doi/full/10.1021/ocv003i004_937434" TargetMode="External"/><Relationship Id="rId5" Type="http://schemas.openxmlformats.org/officeDocument/2006/relationships/hyperlink" Target="https://pubs.acs.org/doi/full/10.1021/acscentsci.7b00158" TargetMode="External"/><Relationship Id="rId15" Type="http://schemas.openxmlformats.org/officeDocument/2006/relationships/hyperlink" Target="https://pubs.acs.org/doi/full/10.1021/acscentsci.6b00391" TargetMode="External"/><Relationship Id="rId23" Type="http://schemas.openxmlformats.org/officeDocument/2006/relationships/hyperlink" Target="https://pubs.acs.org/doi/full/10.1021/ocv003i004_937435" TargetMode="External"/><Relationship Id="rId10" Type="http://schemas.openxmlformats.org/officeDocument/2006/relationships/hyperlink" Target="https://pubs.acs.org/doi/full/10.1021/acscentsci.7b00138" TargetMode="External"/><Relationship Id="rId19" Type="http://schemas.openxmlformats.org/officeDocument/2006/relationships/hyperlink" Target="https://pubs.acs.org/doi/full/10.1021/acscentsci.7b00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s.acs.org/doi/full/10.1021/acscentsci.7b00107" TargetMode="External"/><Relationship Id="rId14" Type="http://schemas.openxmlformats.org/officeDocument/2006/relationships/hyperlink" Target="https://pubs.acs.org/doi/full/10.1021/acscentsci.6b00374" TargetMode="External"/><Relationship Id="rId22" Type="http://schemas.openxmlformats.org/officeDocument/2006/relationships/hyperlink" Target="https://pubs.acs.org/doi/full/10.1021/acscentsci.7b00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2018-08-28T01:51:00Z</dcterms:created>
  <dcterms:modified xsi:type="dcterms:W3CDTF">2018-08-28T02:01:00Z</dcterms:modified>
</cp:coreProperties>
</file>