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42" w:rsidRPr="00592CE0" w:rsidRDefault="00FD6A42" w:rsidP="00FD6A4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FD6A42" w:rsidRPr="00592CE0" w:rsidRDefault="00FD6A42" w:rsidP="00FD6A4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6A42">
        <w:rPr>
          <w:rFonts w:asciiTheme="majorBidi" w:hAnsiTheme="majorBidi" w:cstheme="majorBidi"/>
          <w:b/>
          <w:bCs/>
          <w:sz w:val="24"/>
          <w:szCs w:val="24"/>
        </w:rPr>
        <w:t xml:space="preserve">March 22, 2017 Volume 3, Issue 3 </w:t>
      </w:r>
      <w:bookmarkStart w:id="0" w:name="_GoBack"/>
      <w:bookmarkEnd w:id="0"/>
    </w:p>
    <w:p w:rsidR="00FD6A42" w:rsidRDefault="00FD6A42" w:rsidP="00FD6A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FD6A42" w:rsidTr="00C5317C">
        <w:tc>
          <w:tcPr>
            <w:tcW w:w="7830" w:type="dxa"/>
          </w:tcPr>
          <w:p w:rsidR="00FD6A42" w:rsidRPr="00DE4867" w:rsidRDefault="00FD6A42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FD6A42" w:rsidRPr="00DE4867" w:rsidRDefault="00FD6A42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Courtney Aldrich (Editor-in-Chief) , Carolyn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Bertozzi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(Editor-in-Chief) 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Gunda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I. Georg (Editor-in-Chief) , Laura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Kiessling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(Editor-in-Chief) , Craig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Lindsley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(Editor-in-Chief) , Dennis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Liotta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(Editor-in-Chief) , Kenneth M.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Merz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Jr. (Editor-in-Chief) 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Alanna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Schepartz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(Editor-in-Chief) 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Shaomeng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 (Editor-in-Chief), </w:t>
            </w:r>
            <w:hyperlink r:id="rId5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The Ecstasy and Agony of Assay Interference Compounds</w:t>
              </w:r>
            </w:hyperlink>
            <w:r>
              <w:t>…………………….</w:t>
            </w:r>
          </w:p>
        </w:tc>
        <w:tc>
          <w:tcPr>
            <w:tcW w:w="1187" w:type="dxa"/>
          </w:tcPr>
          <w:p w:rsidR="00FD6A42" w:rsidRPr="00DE4867" w:rsidRDefault="00FD6A42" w:rsidP="00FD6A42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143–147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Melissa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Pandika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6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A Conversation with Manu Prakash</w:t>
              </w:r>
            </w:hyperlink>
            <w:r>
              <w:t>…………………………..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148–149</w:t>
            </w:r>
          </w:p>
        </w:tc>
      </w:tr>
      <w:tr w:rsidR="00FD6A42" w:rsidTr="00C5317C">
        <w:tc>
          <w:tcPr>
            <w:tcW w:w="7830" w:type="dxa"/>
          </w:tcPr>
          <w:p w:rsidR="00FD6A42" w:rsidRPr="00FD6A42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Jyoti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Madhusoodanan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7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Hungering for Obesity Treatments</w:t>
              </w:r>
            </w:hyperlink>
            <w:r>
              <w:t>…………………..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150–152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Laura M.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Thierer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and Neil C.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Tomson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8" w:history="1">
              <w:proofErr w:type="gram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The</w:t>
              </w:r>
              <w:proofErr w:type="gram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Actinium Aqua Ion: A Century in the Making</w:t>
              </w:r>
            </w:hyperlink>
            <w:r>
              <w:t>………………………………………………………………</w:t>
            </w:r>
            <w:r>
              <w:t>………………..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153–155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Manish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Chhowalla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9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Slow Release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Nanofertilizers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for Bumper Crops</w:t>
              </w:r>
            </w:hyperlink>
            <w:r>
              <w:t>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156–157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Perdita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Barran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0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From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Microsolvation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to Cell Permeation: Novel Separation Science for Drug Discovery</w:t>
              </w:r>
            </w:hyperlink>
            <w:r>
              <w:t>…………………………………………………</w:t>
            </w:r>
            <w:r>
              <w:t>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158–160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 and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Guosheng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Liu, </w:t>
            </w:r>
            <w:hyperlink r:id="rId11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Setting Cyclohexane Stereochemistry with Oxidation</w:t>
              </w:r>
            </w:hyperlink>
            <w:r>
              <w:t>………………………………………………………………</w:t>
            </w:r>
            <w:r>
              <w:t>…………………………….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161–162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Suzana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Hamdan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Irena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Pastar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Stefan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Drakulich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Emre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Dikici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Marjana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Tomic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Canic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Sapna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Deo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Sylvia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Daunert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2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Nanotechnology-Driven Therapeutic Interventions in Wound Healing: Potential Uses and Applications</w:t>
              </w:r>
            </w:hyperlink>
            <w:r>
              <w:t>………………………………………………………………</w:t>
            </w:r>
            <w:r>
              <w:t>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163–175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Maryline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G. Ferrier, Benjamin W. Stein, Enrique R. Batista, John M. Berg, Eva R. Birnbaum, Jonathan W. Engle, Kevin D. John,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Stosh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Kozimor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Juan S.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Lezama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Pacheco, and Lindsay N. Redman, </w:t>
            </w:r>
            <w:hyperlink r:id="rId13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Synthesis and Characterization of the Actinium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Aquo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Ion</w:t>
              </w:r>
            </w:hyperlink>
            <w:r>
              <w:t>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176–185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Reid C. Van Lehn and Alfredo Alexander-Katz, </w:t>
            </w:r>
            <w:hyperlink r:id="rId14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Grafting Charged Species to Membrane-Embedded Scaffolds Dramatically Increases the Rate of Bilayer Flipping</w:t>
              </w:r>
            </w:hyperlink>
            <w:r>
              <w:t>………………………………………………………………</w:t>
            </w:r>
            <w:r>
              <w:t>……………..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186–195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Michela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Milan, Massimo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Bietti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Miquel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Costas, </w:t>
            </w:r>
            <w:hyperlink r:id="rId15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Highly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Enantioselective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Oxidation of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Nonactivated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Aliphatic C–H Bonds with Hydrogen Peroxide Catalyzed by Manganese Complexes</w:t>
              </w:r>
            </w:hyperlink>
            <w:r>
              <w:t>………………………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196–204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Pradeep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Velagapudi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Yiling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Luo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Tuan Tran,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Hafeez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Haniff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Yoshio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Nakai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Mohammad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Fallahi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Gustavo J. Martinez, Jessica L. Childs-Disney, and Matthew D. Disney, </w:t>
            </w:r>
            <w:hyperlink r:id="rId16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Defining RNA–Small Molecule Affinity Landscapes Enables Design of a Small Molecule Inhibitor of an Oncogenic Noncoding RNA</w:t>
              </w:r>
            </w:hyperlink>
            <w:r>
              <w:t>……………….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205–216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Matthew J.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Chalkley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Trevor J. Del Castillo, Benjamin D. Matson, Joseph P. Roddy, and Jonas C. Peters, </w:t>
            </w:r>
            <w:hyperlink r:id="rId17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Catalytic N</w:t>
              </w:r>
              <w:r w:rsidRPr="00971391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-to-NH</w:t>
              </w:r>
              <w:r w:rsidRPr="00971391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3</w:t>
              </w:r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 Conversion by Fe at Lower Driving Force: A Proposed Role for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Metallocene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-Mediated PCET</w:t>
              </w:r>
            </w:hyperlink>
            <w:r>
              <w:t>………………………………………………………………</w:t>
            </w:r>
            <w:r>
              <w:t>…….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217–223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Satadru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Sekhar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Mandal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Lucy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Duncombe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N.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Vijaya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Ganesh,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Susmita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Sarkar, Laurence Howells, Philip J. Hogarth, David R. Bundle, and John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McGiven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18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Novel Solutions for Vaccines and Diagnostics To Combat Brucellosis</w:t>
              </w:r>
            </w:hyperlink>
            <w:r>
              <w:t>…………………………………..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224–231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Omkar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Zilka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Ron Shah, Bo Li, Jose Pedro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Friedmann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Angeli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Markus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Griesser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Marcus Conrad, and Derek A. Pratt, </w:t>
            </w:r>
            <w:hyperlink r:id="rId19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On </w:t>
              </w:r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 xml:space="preserve">the Mechanism of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Cytoprotection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by Ferrostatin-1 and Liproxstatin-1 and the Role of Lipid Peroxidation in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Ferroptotic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 Cell Death</w:t>
              </w:r>
            </w:hyperlink>
            <w:r>
              <w:t>………………….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232–243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Florian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Allouche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Giuseppe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Lapadula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Georges Siddiqi, Wayne W. Lukens, Olivier Maury, Boris Le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Guennic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Fabrice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Pointillart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Jan Dreiser, Victor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Mougel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Olivier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Cador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Christophe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Coperet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0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 xml:space="preserve">Magnetic Memory from Site Isolated </w:t>
              </w:r>
              <w:proofErr w:type="spellStart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Dy</w:t>
              </w:r>
              <w:proofErr w:type="spellEnd"/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(III) on Silica Materials</w:t>
              </w:r>
            </w:hyperlink>
            <w:r>
              <w:t>………….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244–249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Yanyan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Anna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Seelig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Simon </w:t>
            </w:r>
            <w:proofErr w:type="spellStart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Berneche</w:t>
            </w:r>
            <w:proofErr w:type="spellEnd"/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hyperlink r:id="rId21" w:history="1">
              <w:r w:rsidRPr="00971391">
                <w:rPr>
                  <w:rFonts w:asciiTheme="majorBidi" w:hAnsiTheme="majorBidi" w:cstheme="majorBidi"/>
                  <w:sz w:val="24"/>
                  <w:szCs w:val="24"/>
                </w:rPr>
                <w:t>Unidirectional Transport Mechanism in an ATP Dependent Exporter</w:t>
              </w:r>
            </w:hyperlink>
            <w:r>
              <w:t>…………………………….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  <w:r w:rsidRPr="00971391">
              <w:rPr>
                <w:rFonts w:asciiTheme="majorBidi" w:hAnsiTheme="majorBidi" w:cstheme="majorBidi"/>
                <w:sz w:val="24"/>
                <w:szCs w:val="24"/>
              </w:rPr>
              <w:t>250–258</w:t>
            </w: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391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Issue Editorial Masthead</w:t>
            </w:r>
            <w:r>
              <w:t>………………………………………………………………</w:t>
            </w:r>
            <w:r>
              <w:t>…………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</w:p>
        </w:tc>
      </w:tr>
      <w:tr w:rsidR="00FD6A42" w:rsidTr="00C5317C">
        <w:tc>
          <w:tcPr>
            <w:tcW w:w="7830" w:type="dxa"/>
          </w:tcPr>
          <w:p w:rsidR="00FD6A42" w:rsidRPr="00971391" w:rsidRDefault="00FD6A42" w:rsidP="00FD6A42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22" w:history="1">
              <w:r w:rsidRPr="00971391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………………………………………………………………..</w:t>
            </w:r>
          </w:p>
        </w:tc>
        <w:tc>
          <w:tcPr>
            <w:tcW w:w="1187" w:type="dxa"/>
          </w:tcPr>
          <w:p w:rsidR="00FD6A42" w:rsidRDefault="00FD6A42" w:rsidP="00FD6A42">
            <w:pPr>
              <w:ind w:left="-108" w:right="-86"/>
            </w:pPr>
          </w:p>
        </w:tc>
      </w:tr>
    </w:tbl>
    <w:p w:rsidR="00FD6A42" w:rsidRDefault="00FD6A42" w:rsidP="00FD6A42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B6802"/>
    <w:multiLevelType w:val="hybridMultilevel"/>
    <w:tmpl w:val="6A26B1C4"/>
    <w:lvl w:ilvl="0" w:tplc="23CC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2"/>
    <w:rsid w:val="000B2C1C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BD5B6-6A0D-4683-80C1-799B10BD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6A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D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074" TargetMode="External"/><Relationship Id="rId13" Type="http://schemas.openxmlformats.org/officeDocument/2006/relationships/hyperlink" Target="https://pubs.acs.org/doi/full/10.1021/acscentsci.6b00356" TargetMode="External"/><Relationship Id="rId18" Type="http://schemas.openxmlformats.org/officeDocument/2006/relationships/hyperlink" Target="https://pubs.acs.org/doi/full/10.1021/acscentsci.7b00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7b00068" TargetMode="External"/><Relationship Id="rId7" Type="http://schemas.openxmlformats.org/officeDocument/2006/relationships/hyperlink" Target="https://pubs.acs.org/doi/full/10.1021/acscentsci.7b00101" TargetMode="External"/><Relationship Id="rId12" Type="http://schemas.openxmlformats.org/officeDocument/2006/relationships/hyperlink" Target="https://pubs.acs.org/doi/full/10.1021/acscentsci.6b00371" TargetMode="External"/><Relationship Id="rId17" Type="http://schemas.openxmlformats.org/officeDocument/2006/relationships/hyperlink" Target="https://pubs.acs.org/doi/full/10.1021/acscentsci.7b00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009" TargetMode="External"/><Relationship Id="rId20" Type="http://schemas.openxmlformats.org/officeDocument/2006/relationships/hyperlink" Target="https://pubs.acs.org/doi/full/10.1021/acscentsci.7b000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095" TargetMode="External"/><Relationship Id="rId11" Type="http://schemas.openxmlformats.org/officeDocument/2006/relationships/hyperlink" Target="https://pubs.acs.org/doi/full/10.1021/acscentsci.7b0009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ubs.acs.org/doi/full/10.1021/acscentsci.7b00069" TargetMode="External"/><Relationship Id="rId15" Type="http://schemas.openxmlformats.org/officeDocument/2006/relationships/hyperlink" Target="https://pubs.acs.org/doi/full/10.1021/acscentsci.6b003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s.acs.org/doi/full/10.1021/acscentsci.7b00092" TargetMode="External"/><Relationship Id="rId19" Type="http://schemas.openxmlformats.org/officeDocument/2006/relationships/hyperlink" Target="https://pubs.acs.org/doi/full/10.1021/acscentsci.7b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091" TargetMode="External"/><Relationship Id="rId14" Type="http://schemas.openxmlformats.org/officeDocument/2006/relationships/hyperlink" Target="https://pubs.acs.org/doi/full/10.1021/acscentsci.6b00365" TargetMode="External"/><Relationship Id="rId22" Type="http://schemas.openxmlformats.org/officeDocument/2006/relationships/hyperlink" Target="https://pubs.acs.org/doi/full/10.1021/ocv003i003_93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2018-08-28T03:20:00Z</dcterms:created>
  <dcterms:modified xsi:type="dcterms:W3CDTF">2018-08-28T03:29:00Z</dcterms:modified>
</cp:coreProperties>
</file>