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76" w:rsidRPr="00592CE0" w:rsidRDefault="00262C76" w:rsidP="00262C7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262C76" w:rsidRPr="00592CE0" w:rsidRDefault="00262C76" w:rsidP="00262C7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62C76">
        <w:rPr>
          <w:rFonts w:asciiTheme="majorBidi" w:hAnsiTheme="majorBidi" w:cstheme="majorBidi"/>
          <w:b/>
          <w:bCs/>
          <w:sz w:val="24"/>
          <w:szCs w:val="24"/>
        </w:rPr>
        <w:t xml:space="preserve">October 26, 2016 Volume 2, Issue 10 </w:t>
      </w:r>
      <w:bookmarkStart w:id="0" w:name="_GoBack"/>
      <w:bookmarkEnd w:id="0"/>
    </w:p>
    <w:p w:rsidR="00262C76" w:rsidRDefault="00262C76" w:rsidP="00262C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187"/>
      </w:tblGrid>
      <w:tr w:rsidR="00262C76" w:rsidTr="00C5317C">
        <w:tc>
          <w:tcPr>
            <w:tcW w:w="7830" w:type="dxa"/>
          </w:tcPr>
          <w:p w:rsidR="00262C76" w:rsidRPr="00DE4867" w:rsidRDefault="00262C76" w:rsidP="00C5317C">
            <w:pPr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…………………………………………………………………………………………………………….</w:t>
            </w:r>
          </w:p>
        </w:tc>
        <w:tc>
          <w:tcPr>
            <w:tcW w:w="1187" w:type="dxa"/>
          </w:tcPr>
          <w:p w:rsidR="00262C76" w:rsidRPr="00DE4867" w:rsidRDefault="00262C76" w:rsidP="00C5317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262C76" w:rsidTr="00C5317C">
        <w:tc>
          <w:tcPr>
            <w:tcW w:w="7830" w:type="dxa"/>
          </w:tcPr>
          <w:p w:rsidR="00262C76" w:rsidRPr="008B784E" w:rsidRDefault="00262C76" w:rsidP="00262C76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Carolyn R.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Bertozzi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(Editor-in-Chief), </w:t>
            </w:r>
            <w:hyperlink r:id="rId5" w:history="1"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Design, Synthesis, Action! Molecular Machines Take the 2016 Nobel Prize in Chemistry</w:t>
              </w:r>
            </w:hyperlink>
            <w:r>
              <w:t>……………….</w:t>
            </w:r>
          </w:p>
        </w:tc>
        <w:tc>
          <w:tcPr>
            <w:tcW w:w="1187" w:type="dxa"/>
          </w:tcPr>
          <w:p w:rsidR="00262C76" w:rsidRPr="00DE4867" w:rsidRDefault="00262C76" w:rsidP="00262C76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784E">
              <w:rPr>
                <w:rFonts w:asciiTheme="majorBidi" w:hAnsiTheme="majorBidi" w:cstheme="majorBidi"/>
                <w:sz w:val="24"/>
                <w:szCs w:val="24"/>
              </w:rPr>
              <w:t>674–675</w:t>
            </w:r>
          </w:p>
        </w:tc>
      </w:tr>
      <w:tr w:rsidR="00262C76" w:rsidTr="00C5317C">
        <w:tc>
          <w:tcPr>
            <w:tcW w:w="7830" w:type="dxa"/>
          </w:tcPr>
          <w:p w:rsidR="00262C76" w:rsidRPr="008B784E" w:rsidRDefault="00262C76" w:rsidP="00262C76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Janet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Pelley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6" w:history="1"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 xml:space="preserve">A Conversation with </w:t>
              </w:r>
              <w:proofErr w:type="spellStart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Kumudini</w:t>
              </w:r>
              <w:proofErr w:type="spellEnd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proofErr w:type="spellStart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Meepagala</w:t>
              </w:r>
              <w:proofErr w:type="spellEnd"/>
            </w:hyperlink>
            <w:r>
              <w:t>……………………</w:t>
            </w:r>
            <w:r>
              <w:t>…</w:t>
            </w:r>
          </w:p>
        </w:tc>
        <w:tc>
          <w:tcPr>
            <w:tcW w:w="1187" w:type="dxa"/>
          </w:tcPr>
          <w:p w:rsidR="00262C76" w:rsidRDefault="00262C76" w:rsidP="00262C76">
            <w:pPr>
              <w:ind w:left="-108" w:right="-86"/>
            </w:pPr>
            <w:r w:rsidRPr="008B784E">
              <w:rPr>
                <w:rFonts w:asciiTheme="majorBidi" w:hAnsiTheme="majorBidi" w:cstheme="majorBidi"/>
                <w:sz w:val="24"/>
                <w:szCs w:val="24"/>
              </w:rPr>
              <w:t>676–677</w:t>
            </w:r>
          </w:p>
        </w:tc>
      </w:tr>
      <w:tr w:rsidR="00262C76" w:rsidTr="00C5317C">
        <w:tc>
          <w:tcPr>
            <w:tcW w:w="7830" w:type="dxa"/>
          </w:tcPr>
          <w:p w:rsidR="00262C76" w:rsidRPr="008B784E" w:rsidRDefault="00262C76" w:rsidP="00262C76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Alla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Katsnelson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7" w:history="1"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What Will It Take To Find a Human Pheromone?</w:t>
              </w:r>
            </w:hyperlink>
            <w:r>
              <w:t>…….</w:t>
            </w:r>
          </w:p>
        </w:tc>
        <w:tc>
          <w:tcPr>
            <w:tcW w:w="1187" w:type="dxa"/>
          </w:tcPr>
          <w:p w:rsidR="00262C76" w:rsidRDefault="00262C76" w:rsidP="00262C76">
            <w:pPr>
              <w:ind w:left="-108" w:right="-86"/>
            </w:pPr>
            <w:r w:rsidRPr="008B784E">
              <w:rPr>
                <w:rFonts w:asciiTheme="majorBidi" w:hAnsiTheme="majorBidi" w:cstheme="majorBidi"/>
                <w:sz w:val="24"/>
                <w:szCs w:val="24"/>
              </w:rPr>
              <w:t>678–681</w:t>
            </w:r>
          </w:p>
        </w:tc>
      </w:tr>
      <w:tr w:rsidR="00262C76" w:rsidTr="00C5317C">
        <w:tc>
          <w:tcPr>
            <w:tcW w:w="7830" w:type="dxa"/>
          </w:tcPr>
          <w:p w:rsidR="00262C76" w:rsidRPr="008B784E" w:rsidRDefault="00262C76" w:rsidP="00262C76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Matthew I. Gibson, </w:t>
            </w:r>
            <w:hyperlink r:id="rId8" w:history="1"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Coating the Flu with Sticky Polymers to Look for New Drugs</w:t>
              </w:r>
            </w:hyperlink>
            <w:r>
              <w:t>…………………….…………………….…………………….……………………</w:t>
            </w:r>
            <w:r>
              <w:t>………….</w:t>
            </w:r>
          </w:p>
        </w:tc>
        <w:tc>
          <w:tcPr>
            <w:tcW w:w="1187" w:type="dxa"/>
          </w:tcPr>
          <w:p w:rsidR="00262C76" w:rsidRDefault="00262C76" w:rsidP="00262C76">
            <w:pPr>
              <w:ind w:left="-108" w:right="-86"/>
            </w:pPr>
            <w:r w:rsidRPr="008B784E">
              <w:rPr>
                <w:rFonts w:asciiTheme="majorBidi" w:hAnsiTheme="majorBidi" w:cstheme="majorBidi"/>
                <w:sz w:val="24"/>
                <w:szCs w:val="24"/>
              </w:rPr>
              <w:t>682–684</w:t>
            </w:r>
          </w:p>
        </w:tc>
      </w:tr>
      <w:tr w:rsidR="00262C76" w:rsidTr="00C5317C">
        <w:tc>
          <w:tcPr>
            <w:tcW w:w="7830" w:type="dxa"/>
          </w:tcPr>
          <w:p w:rsidR="00262C76" w:rsidRPr="008B784E" w:rsidRDefault="00262C76" w:rsidP="00262C76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Liban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M. A. Saleh,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Rafal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Dziedzic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Alexander M.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Spokoyny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9" w:history="1">
              <w:proofErr w:type="gramStart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An</w:t>
              </w:r>
              <w:proofErr w:type="gramEnd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 xml:space="preserve"> Inorganic Twist in </w:t>
              </w:r>
              <w:proofErr w:type="spellStart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Nanomaterials</w:t>
              </w:r>
              <w:proofErr w:type="spellEnd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: Making an Atomically Precise Double Helix</w:t>
              </w:r>
            </w:hyperlink>
            <w:r>
              <w:t>…………………….…………………….…………………….……………………</w:t>
            </w:r>
            <w:r>
              <w:t>………</w:t>
            </w:r>
          </w:p>
        </w:tc>
        <w:tc>
          <w:tcPr>
            <w:tcW w:w="1187" w:type="dxa"/>
          </w:tcPr>
          <w:p w:rsidR="00262C76" w:rsidRDefault="00262C76" w:rsidP="00262C76">
            <w:pPr>
              <w:ind w:left="-108" w:right="-86"/>
            </w:pPr>
            <w:r w:rsidRPr="008B784E">
              <w:rPr>
                <w:rFonts w:asciiTheme="majorBidi" w:hAnsiTheme="majorBidi" w:cstheme="majorBidi"/>
                <w:sz w:val="24"/>
                <w:szCs w:val="24"/>
              </w:rPr>
              <w:t>685–686</w:t>
            </w:r>
          </w:p>
        </w:tc>
      </w:tr>
      <w:tr w:rsidR="00262C76" w:rsidTr="00C5317C">
        <w:tc>
          <w:tcPr>
            <w:tcW w:w="7830" w:type="dxa"/>
          </w:tcPr>
          <w:p w:rsidR="00262C76" w:rsidRPr="008B784E" w:rsidRDefault="00262C76" w:rsidP="00262C76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Alice E. Williamson, Paul M.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Ylioja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Murray N. Robertson,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Yevgeniya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Antonova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-Koch, Vicky Avery, Jonathan B.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Baell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Harikrishna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Batchu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Sanjay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Batra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Jeremy N. Burrows,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Soumya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Bhattacharyya, Felix Calderon, Susan A.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Charman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Julie Clark,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Benigno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Crespo,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Matin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Dean, Stefan L.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Debbert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Michael Delves, Adelaide S. M. Dennis,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Frederik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Deroose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Sandra Duffy, Sabine Fletcher,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Guri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Giaever, Irene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Hallyburton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Francisco-Javier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Gamo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Marinella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Gebbia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R.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Kiplin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Guy, Zoe Hungerford,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Kiaran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Kirk, Maria J.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Lafuente-Monasterio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Anna Lee, Stephan Meister, Corey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Nislow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John P.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Overington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George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Papadatos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Luc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Patiny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James Pham, Stuart A. Ralph, Andrea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Ruecker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Eileen Ryan, Christopher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Southan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Kumkum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Srivastava, Chris Swain, Matthew J.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Tarnowski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Patrick Thomson, Peter Turner, Iain M. Wallace, Timothy N. C. Wells, Karen White, Laura White, Paul Willis, Elizabeth A.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Winzeler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Sergio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Wittlin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Matthew H. Todd, </w:t>
            </w:r>
            <w:hyperlink r:id="rId10" w:history="1"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 xml:space="preserve">Open Source Drug Discovery: Highly Potent Antimalarial Compounds Derived from the </w:t>
              </w:r>
              <w:proofErr w:type="spellStart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Tres</w:t>
              </w:r>
              <w:proofErr w:type="spellEnd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 xml:space="preserve"> Cantos </w:t>
              </w:r>
              <w:proofErr w:type="spellStart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Arylpyrroles</w:t>
              </w:r>
              <w:proofErr w:type="spellEnd"/>
            </w:hyperlink>
            <w:r>
              <w:t>……………………</w:t>
            </w:r>
            <w:r>
              <w:t>……</w:t>
            </w:r>
          </w:p>
        </w:tc>
        <w:tc>
          <w:tcPr>
            <w:tcW w:w="1187" w:type="dxa"/>
          </w:tcPr>
          <w:p w:rsidR="00262C76" w:rsidRDefault="00262C76" w:rsidP="00262C76">
            <w:pPr>
              <w:ind w:left="-108" w:right="-86"/>
            </w:pPr>
            <w:r w:rsidRPr="008B784E">
              <w:rPr>
                <w:rFonts w:asciiTheme="majorBidi" w:hAnsiTheme="majorBidi" w:cstheme="majorBidi"/>
                <w:sz w:val="24"/>
                <w:szCs w:val="24"/>
              </w:rPr>
              <w:t>687–701</w:t>
            </w:r>
          </w:p>
        </w:tc>
      </w:tr>
      <w:tr w:rsidR="00262C76" w:rsidTr="00C5317C">
        <w:tc>
          <w:tcPr>
            <w:tcW w:w="7830" w:type="dxa"/>
          </w:tcPr>
          <w:p w:rsidR="00262C76" w:rsidRPr="008B784E" w:rsidRDefault="00262C76" w:rsidP="00262C76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Wai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Ling Cheung, Maria Y. Chen, Mikhail O.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Maksimov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A. James Link, </w:t>
            </w:r>
            <w:hyperlink r:id="rId11" w:history="1"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 xml:space="preserve">Lasso Peptide Biosynthetic Protein LarB1 Binds Both Leader and Core Peptide Regions of the Precursor Protein </w:t>
              </w:r>
              <w:proofErr w:type="spellStart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Lar</w:t>
              </w:r>
              <w:proofErr w:type="spellEnd"/>
              <w:r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A</w:t>
              </w:r>
            </w:hyperlink>
            <w:r>
              <w:t>…………………….…………………….…………………….…………………….……………………</w:t>
            </w:r>
            <w:r>
              <w:t>……</w:t>
            </w:r>
          </w:p>
        </w:tc>
        <w:tc>
          <w:tcPr>
            <w:tcW w:w="1187" w:type="dxa"/>
          </w:tcPr>
          <w:p w:rsidR="00262C76" w:rsidRDefault="00262C76" w:rsidP="00262C76">
            <w:pPr>
              <w:ind w:left="-108" w:right="-86"/>
            </w:pPr>
            <w:r w:rsidRPr="008B784E">
              <w:rPr>
                <w:rFonts w:asciiTheme="majorBidi" w:hAnsiTheme="majorBidi" w:cstheme="majorBidi"/>
                <w:sz w:val="24"/>
                <w:szCs w:val="24"/>
              </w:rPr>
              <w:t>702–709</w:t>
            </w:r>
          </w:p>
        </w:tc>
      </w:tr>
      <w:tr w:rsidR="00262C76" w:rsidTr="00C5317C">
        <w:tc>
          <w:tcPr>
            <w:tcW w:w="7830" w:type="dxa"/>
          </w:tcPr>
          <w:p w:rsidR="00262C76" w:rsidRPr="008B784E" w:rsidRDefault="00262C76" w:rsidP="00262C76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Miriam Cohen,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Hooman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Senaati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Christopher J. Fisher, Mia L. Huang, Pascal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Gagneux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and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Kamil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Godula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2" w:history="1"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 xml:space="preserve">Synthetic Mucus </w:t>
              </w:r>
              <w:proofErr w:type="spellStart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Nanobarriers</w:t>
              </w:r>
              <w:proofErr w:type="spellEnd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 xml:space="preserve"> for Identification of Glycan-Dependent Primary Influenza A Infection Inhibitors</w:t>
              </w:r>
            </w:hyperlink>
            <w:r>
              <w:t>…………………….…………………….……………………</w:t>
            </w:r>
            <w:r>
              <w:t>……………….</w:t>
            </w:r>
          </w:p>
        </w:tc>
        <w:tc>
          <w:tcPr>
            <w:tcW w:w="1187" w:type="dxa"/>
          </w:tcPr>
          <w:p w:rsidR="00262C76" w:rsidRDefault="00262C76" w:rsidP="00262C76">
            <w:pPr>
              <w:ind w:left="-108" w:right="-86"/>
            </w:pPr>
            <w:r w:rsidRPr="008B784E">
              <w:rPr>
                <w:rFonts w:asciiTheme="majorBidi" w:hAnsiTheme="majorBidi" w:cstheme="majorBidi"/>
                <w:sz w:val="24"/>
                <w:szCs w:val="24"/>
              </w:rPr>
              <w:t>710–714</w:t>
            </w:r>
          </w:p>
        </w:tc>
      </w:tr>
      <w:tr w:rsidR="00262C76" w:rsidTr="00C5317C">
        <w:tc>
          <w:tcPr>
            <w:tcW w:w="7830" w:type="dxa"/>
          </w:tcPr>
          <w:p w:rsidR="00262C76" w:rsidRPr="008B784E" w:rsidRDefault="00262C76" w:rsidP="00262C76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Rashad R.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Karimov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Ankit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Sharma, and John F.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Hartwig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3" w:history="1"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 xml:space="preserve">Late Stage </w:t>
              </w:r>
              <w:proofErr w:type="spellStart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Azidation</w:t>
              </w:r>
              <w:proofErr w:type="spellEnd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 xml:space="preserve"> of Complex Molecules</w:t>
              </w:r>
            </w:hyperlink>
            <w:r>
              <w:t>…………………….……………………</w:t>
            </w:r>
            <w:r>
              <w:t>………..</w:t>
            </w:r>
          </w:p>
        </w:tc>
        <w:tc>
          <w:tcPr>
            <w:tcW w:w="1187" w:type="dxa"/>
          </w:tcPr>
          <w:p w:rsidR="00262C76" w:rsidRDefault="00262C76" w:rsidP="00262C76">
            <w:pPr>
              <w:ind w:left="-108" w:right="-86"/>
            </w:pPr>
            <w:r w:rsidRPr="008B784E">
              <w:rPr>
                <w:rFonts w:asciiTheme="majorBidi" w:hAnsiTheme="majorBidi" w:cstheme="majorBidi"/>
                <w:sz w:val="24"/>
                <w:szCs w:val="24"/>
              </w:rPr>
              <w:t>715–724</w:t>
            </w:r>
          </w:p>
        </w:tc>
      </w:tr>
      <w:tr w:rsidR="00262C76" w:rsidTr="00C5317C">
        <w:tc>
          <w:tcPr>
            <w:tcW w:w="7830" w:type="dxa"/>
          </w:tcPr>
          <w:p w:rsidR="00262C76" w:rsidRPr="008B784E" w:rsidRDefault="00262C76" w:rsidP="00262C76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Jennifer N. Wei, David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Duvenaud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and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Alán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Aspuru-Guzik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4" w:history="1"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Neural Networks for the Prediction of Organic Chemistry Reactions</w:t>
              </w:r>
            </w:hyperlink>
            <w:r>
              <w:t>…………………</w:t>
            </w:r>
          </w:p>
        </w:tc>
        <w:tc>
          <w:tcPr>
            <w:tcW w:w="1187" w:type="dxa"/>
          </w:tcPr>
          <w:p w:rsidR="00262C76" w:rsidRDefault="00262C76" w:rsidP="00262C76">
            <w:pPr>
              <w:ind w:left="-108" w:right="-86"/>
            </w:pPr>
            <w:r w:rsidRPr="008B784E">
              <w:rPr>
                <w:rFonts w:asciiTheme="majorBidi" w:hAnsiTheme="majorBidi" w:cstheme="majorBidi"/>
                <w:sz w:val="24"/>
                <w:szCs w:val="24"/>
              </w:rPr>
              <w:t>725–732</w:t>
            </w:r>
          </w:p>
        </w:tc>
      </w:tr>
      <w:tr w:rsidR="00262C76" w:rsidTr="00C5317C">
        <w:tc>
          <w:tcPr>
            <w:tcW w:w="7830" w:type="dxa"/>
          </w:tcPr>
          <w:p w:rsidR="00262C76" w:rsidRPr="008B784E" w:rsidRDefault="00262C76" w:rsidP="00262C76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Joshua S. Alford, Nadia C.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Abascal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Christopher R.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Shugrue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Sean M. Colvin, David K. Romney, and Scott J. Miller, </w:t>
            </w:r>
            <w:hyperlink r:id="rId15" w:history="1">
              <w:proofErr w:type="spellStart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Aspartyl</w:t>
              </w:r>
              <w:proofErr w:type="spellEnd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 xml:space="preserve"> Oxidation Catalysts That Dial In Functional Group Selectivity, along with </w:t>
              </w:r>
              <w:proofErr w:type="spellStart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Regio</w:t>
              </w:r>
              <w:proofErr w:type="spellEnd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 xml:space="preserve">- and </w:t>
              </w:r>
              <w:proofErr w:type="spellStart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Stereoselectivity</w:t>
              </w:r>
              <w:proofErr w:type="spellEnd"/>
            </w:hyperlink>
            <w:r>
              <w:t>…………………….…………………….</w:t>
            </w:r>
            <w:r>
              <w:t>………………….</w:t>
            </w:r>
          </w:p>
        </w:tc>
        <w:tc>
          <w:tcPr>
            <w:tcW w:w="1187" w:type="dxa"/>
          </w:tcPr>
          <w:p w:rsidR="00262C76" w:rsidRDefault="00262C76" w:rsidP="00262C76">
            <w:pPr>
              <w:ind w:left="-108" w:right="-86"/>
            </w:pPr>
            <w:r w:rsidRPr="008B784E">
              <w:rPr>
                <w:rFonts w:asciiTheme="majorBidi" w:hAnsiTheme="majorBidi" w:cstheme="majorBidi"/>
                <w:sz w:val="24"/>
                <w:szCs w:val="24"/>
              </w:rPr>
              <w:t>733–739</w:t>
            </w:r>
          </w:p>
        </w:tc>
      </w:tr>
      <w:tr w:rsidR="00262C76" w:rsidTr="00C5317C">
        <w:tc>
          <w:tcPr>
            <w:tcW w:w="7830" w:type="dxa"/>
          </w:tcPr>
          <w:p w:rsidR="00262C76" w:rsidRPr="008B784E" w:rsidRDefault="00262C76" w:rsidP="00262C76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Parantap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Sarkar,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Zhe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Sun,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Toshiki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Tokuhira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Motoko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Kotani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Sota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Sato, and Hiroyuki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Isobe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6" w:history="1"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 xml:space="preserve">Stereoisomerism in </w:t>
              </w:r>
              <w:proofErr w:type="spellStart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Nanohoops</w:t>
              </w:r>
              <w:proofErr w:type="spellEnd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 xml:space="preserve"> with Heterogeneous </w:t>
              </w:r>
              <w:proofErr w:type="spellStart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Biaryl</w:t>
              </w:r>
              <w:proofErr w:type="spellEnd"/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 xml:space="preserve"> Linkages of </w:t>
              </w:r>
              <w:r w:rsidRPr="008B784E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E/Z</w:t>
              </w:r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- and </w:t>
              </w:r>
              <w:r w:rsidRPr="008B784E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R/S</w:t>
              </w:r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-Geometries</w:t>
              </w:r>
            </w:hyperlink>
            <w:r>
              <w:t>………………….</w:t>
            </w:r>
          </w:p>
        </w:tc>
        <w:tc>
          <w:tcPr>
            <w:tcW w:w="1187" w:type="dxa"/>
          </w:tcPr>
          <w:p w:rsidR="00262C76" w:rsidRDefault="00262C76" w:rsidP="00262C76">
            <w:pPr>
              <w:ind w:left="-108" w:right="-86"/>
            </w:pPr>
            <w:r w:rsidRPr="008B784E">
              <w:rPr>
                <w:rFonts w:asciiTheme="majorBidi" w:hAnsiTheme="majorBidi" w:cstheme="majorBidi"/>
                <w:sz w:val="24"/>
                <w:szCs w:val="24"/>
              </w:rPr>
              <w:t>740–747</w:t>
            </w:r>
          </w:p>
        </w:tc>
      </w:tr>
      <w:tr w:rsidR="00262C76" w:rsidTr="00C5317C">
        <w:tc>
          <w:tcPr>
            <w:tcW w:w="7830" w:type="dxa"/>
          </w:tcPr>
          <w:p w:rsidR="00262C76" w:rsidRPr="008B784E" w:rsidRDefault="00262C76" w:rsidP="00262C76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Jeffrey M. Ting,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Swapnil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Tale,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Anatolii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Purchel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Seamus D. Jones,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Lakmini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Widanapathirana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Zachary P.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Tolstyka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Li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Guo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Steven J.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Guillaudeu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Frank S. Bates, and Theresa M.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Reineke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7" w:history="1"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High-Throughput Excipient Discovery Enables Oral Delivery of Poorly Soluble Pharmaceuticals</w:t>
              </w:r>
            </w:hyperlink>
            <w:r>
              <w:t>…………………….…………………….</w:t>
            </w:r>
            <w:r>
              <w:t>……………….</w:t>
            </w:r>
          </w:p>
        </w:tc>
        <w:tc>
          <w:tcPr>
            <w:tcW w:w="1187" w:type="dxa"/>
          </w:tcPr>
          <w:p w:rsidR="00262C76" w:rsidRDefault="00262C76" w:rsidP="00262C76">
            <w:pPr>
              <w:ind w:left="-108" w:right="-86"/>
            </w:pPr>
            <w:r w:rsidRPr="008B784E">
              <w:rPr>
                <w:rFonts w:asciiTheme="majorBidi" w:hAnsiTheme="majorBidi" w:cstheme="majorBidi"/>
                <w:sz w:val="24"/>
                <w:szCs w:val="24"/>
              </w:rPr>
              <w:t>748–755</w:t>
            </w:r>
          </w:p>
        </w:tc>
      </w:tr>
      <w:tr w:rsidR="00262C76" w:rsidTr="00C5317C">
        <w:tc>
          <w:tcPr>
            <w:tcW w:w="7830" w:type="dxa"/>
          </w:tcPr>
          <w:p w:rsidR="00262C76" w:rsidRPr="008B784E" w:rsidRDefault="00262C76" w:rsidP="00262C76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Giulia Palermo, 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Yinglong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Miao, Ross C. Walker, Martin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Jinek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J. Andrew </w:t>
            </w:r>
            <w:proofErr w:type="spellStart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McCammon</w:t>
            </w:r>
            <w:proofErr w:type="spellEnd"/>
            <w:r w:rsidRPr="008B78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8" w:history="1">
              <w:r w:rsidRPr="008B784E">
                <w:rPr>
                  <w:rFonts w:asciiTheme="majorBidi" w:hAnsiTheme="majorBidi" w:cstheme="majorBidi"/>
                  <w:sz w:val="24"/>
                  <w:szCs w:val="24"/>
                </w:rPr>
                <w:t>Striking Plasticity of CRISPR-Cas9 and Key Role of Non-target DNA, as Revealed by Molecular Simulations</w:t>
              </w:r>
            </w:hyperlink>
            <w:r>
              <w:t>…..</w:t>
            </w:r>
          </w:p>
        </w:tc>
        <w:tc>
          <w:tcPr>
            <w:tcW w:w="1187" w:type="dxa"/>
          </w:tcPr>
          <w:p w:rsidR="00262C76" w:rsidRDefault="00262C76" w:rsidP="00262C76">
            <w:pPr>
              <w:ind w:left="-108" w:right="-86"/>
            </w:pPr>
            <w:r w:rsidRPr="008B784E">
              <w:rPr>
                <w:rFonts w:asciiTheme="majorBidi" w:hAnsiTheme="majorBidi" w:cstheme="majorBidi"/>
                <w:sz w:val="24"/>
                <w:szCs w:val="24"/>
              </w:rPr>
              <w:t>756–763</w:t>
            </w:r>
          </w:p>
        </w:tc>
      </w:tr>
      <w:tr w:rsidR="00262C76" w:rsidTr="00C5317C">
        <w:tc>
          <w:tcPr>
            <w:tcW w:w="7830" w:type="dxa"/>
          </w:tcPr>
          <w:p w:rsidR="00262C76" w:rsidRPr="008B784E" w:rsidRDefault="00262C76" w:rsidP="00262C76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19" w:history="1">
              <w:r w:rsidRPr="008B784E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Editorial Masthead</w:t>
              </w:r>
            </w:hyperlink>
            <w:r>
              <w:t>…………………….…………………….……………………</w:t>
            </w:r>
            <w:r>
              <w:t>……….</w:t>
            </w:r>
          </w:p>
        </w:tc>
        <w:tc>
          <w:tcPr>
            <w:tcW w:w="1187" w:type="dxa"/>
          </w:tcPr>
          <w:p w:rsidR="00262C76" w:rsidRDefault="00262C76" w:rsidP="00262C76">
            <w:pPr>
              <w:ind w:left="-108" w:right="-86"/>
            </w:pPr>
          </w:p>
        </w:tc>
      </w:tr>
      <w:tr w:rsidR="00262C76" w:rsidTr="00C5317C">
        <w:tc>
          <w:tcPr>
            <w:tcW w:w="7830" w:type="dxa"/>
          </w:tcPr>
          <w:p w:rsidR="00262C76" w:rsidRPr="008B784E" w:rsidRDefault="00262C76" w:rsidP="00262C76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20" w:history="1">
              <w:r w:rsidRPr="008B784E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Publication Information</w:t>
              </w:r>
            </w:hyperlink>
            <w:r>
              <w:t>…………………….…………………….…………………</w:t>
            </w:r>
            <w:r>
              <w:t>…</w:t>
            </w:r>
          </w:p>
        </w:tc>
        <w:tc>
          <w:tcPr>
            <w:tcW w:w="1187" w:type="dxa"/>
          </w:tcPr>
          <w:p w:rsidR="00262C76" w:rsidRDefault="00262C76" w:rsidP="00262C76">
            <w:pPr>
              <w:ind w:left="-108" w:right="-86"/>
            </w:pPr>
          </w:p>
        </w:tc>
      </w:tr>
    </w:tbl>
    <w:p w:rsidR="00262C76" w:rsidRDefault="00262C76" w:rsidP="00262C76"/>
    <w:p w:rsidR="000B2C1C" w:rsidRDefault="000B2C1C"/>
    <w:sectPr w:rsidR="000B2C1C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94D59"/>
    <w:multiLevelType w:val="hybridMultilevel"/>
    <w:tmpl w:val="DDDA9054"/>
    <w:lvl w:ilvl="0" w:tplc="4EF6B4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BFD"/>
    <w:multiLevelType w:val="hybridMultilevel"/>
    <w:tmpl w:val="4EE6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76"/>
    <w:rsid w:val="000B2C1C"/>
    <w:rsid w:val="002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64D53-50E7-4BF1-9C26-4993B7F3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2C7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2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full/10.1021/acscentsci.6b00301" TargetMode="External"/><Relationship Id="rId13" Type="http://schemas.openxmlformats.org/officeDocument/2006/relationships/hyperlink" Target="https://pubs.acs.org/doi/full/10.1021/acscentsci.6b00214" TargetMode="External"/><Relationship Id="rId18" Type="http://schemas.openxmlformats.org/officeDocument/2006/relationships/hyperlink" Target="https://pubs.acs.org/doi/full/10.1021/acscentsci.6b0021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ubs.acs.org/doi/full/10.1021/acscentsci.6b00306" TargetMode="External"/><Relationship Id="rId12" Type="http://schemas.openxmlformats.org/officeDocument/2006/relationships/hyperlink" Target="https://pubs.acs.org/doi/full/10.1021/acscentsci.6b00191" TargetMode="External"/><Relationship Id="rId17" Type="http://schemas.openxmlformats.org/officeDocument/2006/relationships/hyperlink" Target="https://pubs.acs.org/doi/full/10.1021/acscentsci.6b002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s.acs.org/doi/full/10.1021/acscentsci.6b00240" TargetMode="External"/><Relationship Id="rId20" Type="http://schemas.openxmlformats.org/officeDocument/2006/relationships/hyperlink" Target="https://pubs.acs.org/doi/full/10.1021/ocv002i010_8987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s.acs.org/doi/full/10.1021/acscentsci.6b00299" TargetMode="External"/><Relationship Id="rId11" Type="http://schemas.openxmlformats.org/officeDocument/2006/relationships/hyperlink" Target="https://pubs.acs.org/doi/full/10.1021/acscentsci.6b00184" TargetMode="External"/><Relationship Id="rId5" Type="http://schemas.openxmlformats.org/officeDocument/2006/relationships/hyperlink" Target="https://pubs.acs.org/doi/full/10.1021/acscentsci.6b00302" TargetMode="External"/><Relationship Id="rId15" Type="http://schemas.openxmlformats.org/officeDocument/2006/relationships/hyperlink" Target="https://pubs.acs.org/doi/full/10.1021/acscentsci.6b00237" TargetMode="External"/><Relationship Id="rId10" Type="http://schemas.openxmlformats.org/officeDocument/2006/relationships/hyperlink" Target="https://pubs.acs.org/doi/full/10.1021/acscentsci.6b00086" TargetMode="External"/><Relationship Id="rId19" Type="http://schemas.openxmlformats.org/officeDocument/2006/relationships/hyperlink" Target="https://pubs.acs.org/doi/full/10.1021/ocv002i010_898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full/10.1021/acscentsci.6b00305" TargetMode="External"/><Relationship Id="rId14" Type="http://schemas.openxmlformats.org/officeDocument/2006/relationships/hyperlink" Target="https://pubs.acs.org/doi/full/10.1021/acscentsci.6b002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2018-08-28T04:55:00Z</dcterms:created>
  <dcterms:modified xsi:type="dcterms:W3CDTF">2018-08-28T05:05:00Z</dcterms:modified>
</cp:coreProperties>
</file>