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5F" w:rsidRPr="00592CE0" w:rsidRDefault="00312D5F" w:rsidP="00312D5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312D5F" w:rsidRPr="00592CE0" w:rsidRDefault="002244F1" w:rsidP="002244F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2244F1">
        <w:rPr>
          <w:rFonts w:asciiTheme="majorBidi" w:hAnsiTheme="majorBidi" w:cstheme="majorBidi"/>
          <w:b/>
          <w:bCs/>
          <w:sz w:val="24"/>
          <w:szCs w:val="24"/>
        </w:rPr>
        <w:t xml:space="preserve">November 23, 2016 Volume 2, Issue 11 </w:t>
      </w:r>
    </w:p>
    <w:p w:rsidR="00312D5F" w:rsidRDefault="00312D5F" w:rsidP="00312D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312D5F" w:rsidTr="00C5317C">
        <w:tc>
          <w:tcPr>
            <w:tcW w:w="7830" w:type="dxa"/>
          </w:tcPr>
          <w:p w:rsidR="00312D5F" w:rsidRPr="00DE4867" w:rsidRDefault="00312D5F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312D5F" w:rsidRPr="00DE4867" w:rsidRDefault="00312D5F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Carolyn R.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Bertozzi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 (Editor-in-Chief), </w:t>
            </w:r>
            <w:hyperlink r:id="rId5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Ingredients for a Positive Safety Culture</w:t>
              </w:r>
            </w:hyperlink>
            <w:r>
              <w:t>………………………………………………………………</w:t>
            </w:r>
            <w:r>
              <w:t>……………………………..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764–766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Katherine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Bourzac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A Conversation with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Rommie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Amaro</w:t>
              </w:r>
              <w:proofErr w:type="spellEnd"/>
            </w:hyperlink>
            <w:r>
              <w:t>…………………..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767–768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Stephen K. Ritter, </w:t>
            </w:r>
            <w:hyperlink r:id="rId7" w:history="1">
              <w:proofErr w:type="gram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The</w:t>
              </w:r>
              <w:proofErr w:type="gram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Art of the Chemical Bond</w:t>
              </w:r>
            </w:hyperlink>
            <w:r>
              <w:t>…………………………………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769–772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Daniel C. Fredrickson, </w:t>
            </w:r>
            <w:hyperlink r:id="rId8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 Pressurized Exploration of Intermetallic Chemistry</w:t>
              </w:r>
            </w:hyperlink>
            <w:r>
              <w:t>………………………………………………………………</w:t>
            </w:r>
            <w:r>
              <w:t>……………………………………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773–774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Alexander J. Wagner and Donna G.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Blackmond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9" w:history="1">
              <w:proofErr w:type="gram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The</w:t>
              </w:r>
              <w:proofErr w:type="gram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Future of Prebiotic Chemistry</w:t>
              </w:r>
            </w:hyperlink>
            <w:r>
              <w:t>………………………………………………………………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775–777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Alois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Fürstner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Iron Catalysis in Organic Synthesis: A Critical Assessment of What It Takes To Make This Base Metal a Multitasking Champion</w:t>
              </w:r>
            </w:hyperlink>
            <w:r>
              <w:t>………………………………………………………………</w:t>
            </w:r>
            <w:r>
              <w:t>……………………………………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778–789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Kevin N. Wood, Eric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Kazyak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Alexander F. Chadwick,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-Hung Chen,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Ji-Guang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Katsuyo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Thornton, and Neil P.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Dasgupta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Dendrites and Pits: Untangling the Complex Behavior of Lithium Metal Anodes through Operando Video Microscopy</w:t>
              </w:r>
            </w:hyperlink>
            <w:r>
              <w:t>…………………………………………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790–801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Hongping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Xia,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Fangyuan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 Xi Hu,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Wooram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Park,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Shuaifei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Youngjin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Jang, Yang Du,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Seungmin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Baik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Soojeong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Cho,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Taegyu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Kang, Dong-Hyun Kim,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Daishun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Ling,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Kam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Man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Hui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and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Taeghwan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Hyeon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pH-Sensitive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Pt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Nanocluster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Assembly Overcomes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Cisplatin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Resistance and Heterogeneous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Stemness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of Hepatocellular Carcinoma</w:t>
              </w:r>
            </w:hyperlink>
            <w:r>
              <w:t>………………………………………………………………</w:t>
            </w:r>
            <w:r>
              <w:t>………….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802–811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Lawrence J.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Dooling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 and David A.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Tirrell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Engineering the Dynamic Properties of Protein Networks through Sequence Variation</w:t>
              </w:r>
            </w:hyperlink>
            <w:r>
              <w:t>…………………..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812–819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Dae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Sung Park,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Kristeen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E. Joseph, Maura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Koehle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Christoph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Krumm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Limin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Jonathan N.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Damen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Meera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Shete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Han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Seung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Lee,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Xiaobing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Zuo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Byeongdu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Lee, Wei Fan,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Dionisios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G. Vlachos, Raul F. Lobo, Michael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Tsapatsis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 Paul J.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Dauenhauer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Tunable Oleo-Furan Surfactants by Acylation of Renewable Furans</w:t>
              </w:r>
            </w:hyperlink>
            <w:r>
              <w:t>…….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820–824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Gregory T. Rushton, Andrew Dewar, Herman E. Ray, Brett A. Criswell, and Lisa Shah, </w:t>
            </w:r>
            <w:hyperlink r:id="rId15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Setting a Standard for Chemistry Education in the Next Generation: A Retrosynthetic Analysis</w:t>
              </w:r>
            </w:hyperlink>
            <w:r>
              <w:t>………………………………….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825–833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Tiantian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 Tao Wei,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Yuanyuan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Han,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Mohammadreza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Samieegohar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Ping-Wei Chen, Ian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and Yu-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Hwa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Lo, </w:t>
            </w:r>
            <w:hyperlink r:id="rId16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Protein–Ligand Interaction Detection with a Novel Method of Transient Induced Molecular Electronic Spectroscopy (TIMES): Experimental and Theoretical Studies</w:t>
              </w:r>
            </w:hyperlink>
            <w:r>
              <w:t>……………………………………..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834–842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Marlies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Nijemeisland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Loai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K. E. A.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Abdelmohsen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Wilhelm T. S. Huck, Daniela A. Wilson, and Jan C. M. van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Hest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 Compartmentalized Out-of-Equilibrium Enzymatic Reaction Network for Sustained Autonomous Movement</w:t>
              </w:r>
            </w:hyperlink>
            <w:r>
              <w:t>…………………………………………………</w:t>
            </w:r>
            <w:r>
              <w:t>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843–849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Michael L.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Pegis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Bradley A.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McKeown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Neeraj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Kumar, Kai Lang, Derek J.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Wasylenko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X. Peter Zhang, Simone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Raugei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 James M. Mayer, </w:t>
            </w:r>
            <w:hyperlink r:id="rId18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Homogenous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Electrocatalytic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Oxygen Reduction Rates Correlate with Reaction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Overpotential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in Acidic Organic Solutions</w:t>
              </w:r>
            </w:hyperlink>
            <w:r>
              <w:t>………………………………………………………………</w:t>
            </w:r>
            <w:r>
              <w:t>……………………….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850–856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Guillermo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Iván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Guerrero-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García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Francisco J. Solis,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Kalyan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Raidongia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Andrew Robert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Koltonow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Jiaxing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Huang, and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Mónica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Olvera de la Cruz, </w:t>
            </w:r>
            <w:hyperlink r:id="rId19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Control of Selective Ion Transfer across Liquid–Liquid Interfaces: A Rectifying </w:t>
              </w:r>
              <w:proofErr w:type="spellStart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Heterojunction</w:t>
              </w:r>
              <w:proofErr w:type="spellEnd"/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Based on Immiscible Electrolytes</w:t>
              </w:r>
            </w:hyperlink>
            <w:r>
              <w:t>………………………………………………………………..</w:t>
            </w:r>
            <w:r>
              <w:t>……………………………….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857–866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James P. S. Walsh, Samantha M. Clarke, 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Yue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Meng</w:t>
            </w:r>
            <w:proofErr w:type="spellEnd"/>
            <w:r w:rsidRPr="006312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Steven D. Jacobsen, and Danna E. Freedman, </w:t>
            </w:r>
            <w:hyperlink r:id="rId20" w:history="1"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Discovery of FeBi</w:t>
              </w:r>
              <w:r w:rsidRPr="00631279">
                <w:rPr>
                  <w:rFonts w:asciiTheme="majorBidi" w:hAnsiTheme="majorBidi" w:cstheme="majorBidi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  <w:r>
              <w:t>……………………..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  <w:r w:rsidRPr="006312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867–871</w:t>
            </w:r>
          </w:p>
        </w:tc>
      </w:tr>
      <w:tr w:rsidR="002244F1" w:rsidTr="00C5317C">
        <w:tc>
          <w:tcPr>
            <w:tcW w:w="7830" w:type="dxa"/>
          </w:tcPr>
          <w:p w:rsidR="002244F1" w:rsidRPr="00631279" w:rsidRDefault="002244F1" w:rsidP="002244F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1279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Editorial Masthead</w:t>
            </w:r>
            <w:r>
              <w:t>………………………………………………………………</w:t>
            </w:r>
            <w:r>
              <w:t>…………</w:t>
            </w:r>
          </w:p>
        </w:tc>
        <w:tc>
          <w:tcPr>
            <w:tcW w:w="1187" w:type="dxa"/>
          </w:tcPr>
          <w:p w:rsidR="002244F1" w:rsidRDefault="002244F1" w:rsidP="002244F1">
            <w:pPr>
              <w:ind w:left="-108" w:right="-86"/>
            </w:pPr>
          </w:p>
        </w:tc>
      </w:tr>
      <w:tr w:rsidR="00312D5F" w:rsidTr="00C5317C">
        <w:tc>
          <w:tcPr>
            <w:tcW w:w="7830" w:type="dxa"/>
          </w:tcPr>
          <w:p w:rsidR="00312D5F" w:rsidRPr="00F605F3" w:rsidRDefault="00312D5F" w:rsidP="002244F1">
            <w:pPr>
              <w:pStyle w:val="NoSpacing"/>
              <w:numPr>
                <w:ilvl w:val="0"/>
                <w:numId w:val="2"/>
              </w:numPr>
              <w:ind w:left="342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1" w:history="1">
              <w:r w:rsidRPr="00F605F3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312D5F" w:rsidRDefault="00312D5F" w:rsidP="00C5317C">
            <w:pPr>
              <w:ind w:left="-108" w:right="-86"/>
            </w:pPr>
          </w:p>
        </w:tc>
      </w:tr>
    </w:tbl>
    <w:p w:rsidR="00312D5F" w:rsidRDefault="00312D5F" w:rsidP="00312D5F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2810"/>
    <w:multiLevelType w:val="hybridMultilevel"/>
    <w:tmpl w:val="C09E1AB4"/>
    <w:lvl w:ilvl="0" w:tplc="C4C68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F"/>
    <w:rsid w:val="000B2C1C"/>
    <w:rsid w:val="002244F1"/>
    <w:rsid w:val="003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E4B2-0DFF-44DB-A69A-46A96D0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2D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1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6b00332" TargetMode="External"/><Relationship Id="rId13" Type="http://schemas.openxmlformats.org/officeDocument/2006/relationships/hyperlink" Target="https://pubs.acs.org/doi/full/10.1021/acscentsci.6b00205" TargetMode="External"/><Relationship Id="rId18" Type="http://schemas.openxmlformats.org/officeDocument/2006/relationships/hyperlink" Target="https://pubs.acs.org/doi/full/10.1021/acscentsci.6b002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ocv003i004_937434" TargetMode="External"/><Relationship Id="rId7" Type="http://schemas.openxmlformats.org/officeDocument/2006/relationships/hyperlink" Target="https://pubs.acs.org/doi/full/10.1021/acscentsci.6b00337" TargetMode="External"/><Relationship Id="rId12" Type="http://schemas.openxmlformats.org/officeDocument/2006/relationships/hyperlink" Target="https://pubs.acs.org/doi/full/10.1021/acscentsci.6b00197" TargetMode="External"/><Relationship Id="rId17" Type="http://schemas.openxmlformats.org/officeDocument/2006/relationships/hyperlink" Target="https://pubs.acs.org/doi/full/10.1021/acscentsci.6b002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6b00217" TargetMode="External"/><Relationship Id="rId20" Type="http://schemas.openxmlformats.org/officeDocument/2006/relationships/hyperlink" Target="https://pubs.acs.org/doi/full/10.1021/acscentsci.6b002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6b00342" TargetMode="External"/><Relationship Id="rId11" Type="http://schemas.openxmlformats.org/officeDocument/2006/relationships/hyperlink" Target="https://pubs.acs.org/doi/full/10.1021/acscentsci.6b00260" TargetMode="External"/><Relationship Id="rId5" Type="http://schemas.openxmlformats.org/officeDocument/2006/relationships/hyperlink" Target="https://pubs.acs.org/doi/full/10.1021/acscentsci.6b00341" TargetMode="External"/><Relationship Id="rId15" Type="http://schemas.openxmlformats.org/officeDocument/2006/relationships/hyperlink" Target="https://pubs.acs.org/doi/full/10.1021/acscentsci.6b00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s.acs.org/doi/full/10.1021/acscentsci.6b00272" TargetMode="External"/><Relationship Id="rId19" Type="http://schemas.openxmlformats.org/officeDocument/2006/relationships/hyperlink" Target="https://pubs.acs.org/doi/full/10.1021/acscentsci.6b00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6b00336" TargetMode="External"/><Relationship Id="rId14" Type="http://schemas.openxmlformats.org/officeDocument/2006/relationships/hyperlink" Target="https://pubs.acs.org/doi/full/10.1021/acscentsci.6b002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2018-08-28T04:19:00Z</dcterms:created>
  <dcterms:modified xsi:type="dcterms:W3CDTF">2018-08-28T04:53:00Z</dcterms:modified>
</cp:coreProperties>
</file>